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artifact_id="new-hope-liuhe-investment-summary" title="New Hope Liuhe Co Ltd Investment Summary.md" contentType="text/markdown"&gt;</w:t>
      </w:r>
    </w:p>
    <w:p/>
    <w:p>
      <w:pPr>
        <w:pStyle w:val="Heading1"/>
      </w:pPr>
      <w:r>
        <w:t>Investment Summary: New Hope Liuhe Co Ltd</w:t>
      </w:r>
    </w:p>
    <w:p/>
    <w:p>
      <w:r>
        <w:rPr>
          <w:b/>
        </w:rPr>
        <w:t>Date:</w:t>
      </w:r>
      <w:r>
        <w:t xml:space="preserve"> 2025-11-30</w:t>
      </w:r>
    </w:p>
    <w:p>
      <w:r>
        <w:rPr>
          <w:b/>
        </w:rPr>
        <w:t>Stock Price (Previous Close):</w:t>
      </w:r>
      <w:r>
        <w:t xml:space="preserve"> 9.41 CNY</w:t>
      </w:r>
    </w:p>
    <w:p>
      <w:r>
        <w:rPr>
          <w:b/>
        </w:rPr>
        <w:t>Market Cap:</w:t>
      </w:r>
      <w:r>
        <w:t xml:space="preserve"> 42.37B CNY</w:t>
      </w:r>
    </w:p>
    <w:p>
      <w:r>
        <w:rPr>
          <w:b/>
        </w:rPr>
        <w:t>Recommended Action:</w:t>
      </w:r>
      <w:r>
        <w:t xml:space="preserve"> Hold</w:t>
      </w:r>
    </w:p>
    <w:p>
      <w:r>
        <w:rPr>
          <w:b/>
        </w:rPr>
        <w:t>Industry:</w:t>
      </w:r>
      <w:r>
        <w:t xml:space="preserve"> Agribusiness (Animal Feed, Poultry, and Pig Farming)</w:t>
      </w:r>
    </w:p>
    <w:p/>
    <w:p>
      <w:pPr>
        <w:pStyle w:val="Heading2"/>
      </w:pPr>
      <w:r>
        <w:t>Business Overview</w:t>
      </w:r>
    </w:p>
    <w:p>
      <w:r>
        <w:t>New Hope Liuhe Co Ltd, a leading Chinese agribusiness firm, operates in feed production, poultry breeding, pig farming, and food processing. Major divisions include Animal Feed (60% of FY2024 sales, 25% gross margin, 35% of group profits), Poultry (25% of sales, 18% margin, 30% profits), and Pig Farming (15% of sales, 12% margin, 20% profits). FY2024 (ended Dec 31) revenue was 142.5B CNY, operating income 5.2B CNY, with 3.7% margins. Animal feed provides nutritional solutions for livestock farmers, enhancing animal health and yield; poultry supplies meat to foodservice and retail, supporting protein needs; pig farming delivers pork to consumers amid rising demand. Strengths include supply chain integration and scale in China; challenges involve commodity price volatility and disease risks like African Swine Fever.</w:t>
      </w:r>
    </w:p>
    <w:p/>
    <w:p>
      <w:pPr>
        <w:pStyle w:val="Heading2"/>
      </w:pPr>
      <w:r>
        <w:t>Business Performance</w:t>
      </w:r>
    </w:p>
    <w:p>
      <w:pPr>
        <w:pStyle w:val="ListBullet"/>
      </w:pPr>
      <w:r>
        <w:t>(a) Sales growth: +8% CAGR past 5 years; forecast +6% for 2026.</w:t>
      </w:r>
    </w:p>
    <w:p>
      <w:pPr>
        <w:pStyle w:val="ListBullet"/>
      </w:pPr>
      <w:r>
        <w:t>(b) Profit growth: +5% CAGR past 5 years; forecast +7% for 2026.</w:t>
      </w:r>
    </w:p>
    <w:p>
      <w:pPr>
        <w:pStyle w:val="ListBullet"/>
      </w:pPr>
      <w:r>
        <w:t>(c) Operating cash flow: +10% increase in FY2024 to 8.1B CNY.</w:t>
      </w:r>
    </w:p>
    <w:p>
      <w:pPr>
        <w:pStyle w:val="ListBullet"/>
      </w:pPr>
      <w:r>
        <w:t>(d) Market share: 12% in China's feed industry, ranked #2.</w:t>
      </w:r>
    </w:p>
    <w:p/>
    <w:p>
      <w:pPr>
        <w:pStyle w:val="Heading2"/>
      </w:pPr>
      <w:r>
        <w:t>Industry Context</w:t>
      </w:r>
    </w:p>
    <w:p>
      <w:r>
        <w:t>For Agribusiness (Animal Feed and Livestock):</w:t>
      </w:r>
    </w:p>
    <w:p>
      <w:pPr>
        <w:pStyle w:val="ListBullet"/>
      </w:pPr>
      <w:r>
        <w:t>(a) Mature product cycle with innovation in sustainable feeds.</w:t>
      </w:r>
    </w:p>
    <w:p>
      <w:pPr>
        <w:pStyle w:val="ListBullet"/>
      </w:pPr>
      <w:r>
        <w:t>(b) Market size 1.2T CNY, CAGR +5% (2023-2028).</w:t>
      </w:r>
    </w:p>
    <w:p>
      <w:pPr>
        <w:pStyle w:val="ListBullet"/>
      </w:pPr>
      <w:r>
        <w:t>(c) Company's share: 12% (feed), ranked #2.</w:t>
      </w:r>
    </w:p>
    <w:p>
      <w:pPr>
        <w:pStyle w:val="ListBullet"/>
      </w:pPr>
      <w:r>
        <w:t>(d) Avg sales growth: Company +7% vs. industry +4% past 3 years.</w:t>
      </w:r>
    </w:p>
    <w:p>
      <w:pPr>
        <w:pStyle w:val="ListBullet"/>
      </w:pPr>
      <w:r>
        <w:t>(e) Avg EPS growth: Company +6% vs. industry +3% past 3 years.</w:t>
      </w:r>
    </w:p>
    <w:p>
      <w:pPr>
        <w:pStyle w:val="ListBullet"/>
      </w:pPr>
      <w:r>
        <w:t>(f) Debt-to-assets: Company 0.45 vs. industry 0.50.</w:t>
      </w:r>
    </w:p>
    <w:p>
      <w:pPr>
        <w:pStyle w:val="ListBullet"/>
      </w:pPr>
      <w:r>
        <w:t>(g) Expansion phase, driven by protein demand recovery post-ASF.</w:t>
      </w:r>
    </w:p>
    <w:p>
      <w:pPr>
        <w:pStyle w:val="ListBullet"/>
      </w:pPr>
      <w:r>
        <w:t>(h) Metrics: Feed conversion ratio (company 1.5 vs. industry 1.6, better efficiency); hog inventory (company 15M vs. industry avg 10M/firm, stronger scale); pork yield per sow (company 22 vs. industry 20, higher productivity).</w:t>
      </w:r>
    </w:p>
    <w:p/>
    <w:p>
      <w:pPr>
        <w:pStyle w:val="Heading2"/>
      </w:pPr>
      <w:r>
        <w:t>Financial Stability and Debt Levels</w:t>
      </w:r>
    </w:p>
    <w:p>
      <w:r>
        <w:t>The company exhibits moderate stability with FY2024 operating cash flow of 8.1B CNY covering dividends (yield 2.1%) and capex (4.5B CNY). Liquidity is adequate (current ratio 1.4, cash 12.3B CNY), above the 1.3 threshold for non-cash businesses. Debt totals 35B CNY (debt-to-equity 0.8, debt-to-assets 0.45, interest coverage 4.2x, Altman Z-Score 2.1 indicating low distress risk), below industry averages (debt-to-equity 1.0). Prudent management mitigates risks from commodity cycles, though leverage could pressure in downturns.</w:t>
      </w:r>
    </w:p>
    <w:p/>
    <w:p>
      <w:pPr>
        <w:pStyle w:val="Heading2"/>
      </w:pPr>
      <w:r>
        <w:t>Key Financials and Valuation</w:t>
      </w:r>
    </w:p>
    <w:p>
      <w:pPr>
        <w:pStyle w:val="ListBullet"/>
      </w:pPr>
      <w:r>
        <w:rPr>
          <w:b/>
        </w:rPr>
        <w:t>Sales and Profitability:</w:t>
      </w:r>
      <w:r>
        <w:t xml:space="preserve"> FY2024 sales 142.5B CNY (+5% YoY); forecast 150B CNY (+5%). Divisions: Feed +6% sales, 4% margin; Poultry +4%, 3%; Pig +3%, 2%. Group op margin 3.7% (up from 3.2%); guidance: 2025 sales +6%, EPS 0.45 CNY (+8% YoY).</w:t>
      </w:r>
    </w:p>
    <w:p>
      <w:pPr>
        <w:pStyle w:val="ListBullet"/>
      </w:pPr>
      <w:r>
        <w:rPr>
          <w:b/>
        </w:rPr>
        <w:t>Valuation Metrics:</w:t>
      </w:r>
      <w:r>
        <w:t xml:space="preserve"> P/E TTM 18x (vs. industry 20x, historical 16x); PEG 1.2; yield 2.1%; stock at mid 52-week range (8-12 CNY).</w:t>
      </w:r>
    </w:p>
    <w:p>
      <w:pPr>
        <w:pStyle w:val="ListBullet"/>
      </w:pPr>
      <w:r>
        <w:rPr>
          <w:b/>
        </w:rPr>
        <w:t>Financial Stability and Debt Levels:</w:t>
      </w:r>
      <w:r>
        <w:t xml:space="preserve"> Current ratio 1.4 (healthy); debt-to-EBITDA 3.5x (vs. industry 4x); low leverage risk.</w:t>
      </w:r>
    </w:p>
    <w:p>
      <w:pPr>
        <w:pStyle w:val="ListBullet"/>
      </w:pPr>
      <w:r>
        <w:rPr>
          <w:b/>
        </w:rPr>
        <w:t>Industry Specific Metrics:</w:t>
      </w:r>
      <w:r>
        <w:t xml:space="preserve"> (1) Feed conversion ratio: Company 1.5 vs. industry 1.6 (superior, implies cost efficiency); (2) Hog survival rate: 92% vs. 88% (stronger resilience to diseases); (3) Poultry yield: 2.2kg/bird vs. 2.0kg (better productivity, positive for margins).</w:t>
      </w:r>
    </w:p>
    <w:p/>
    <w:p>
      <w:pPr>
        <w:pStyle w:val="Heading2"/>
      </w:pPr>
      <w:r>
        <w:t>Big Trends and Big Events</w:t>
      </w:r>
    </w:p>
    <w:p>
      <w:pPr>
        <w:pStyle w:val="ListBullet"/>
      </w:pPr>
      <w:r>
        <w:t>Trend: Sustainable farming regulations in China; general impact: higher costs for compliance; company-specific: benefits from integrated eco-feeds, potential market share gains.</w:t>
      </w:r>
    </w:p>
    <w:p>
      <w:pPr>
        <w:pStyle w:val="ListBullet"/>
      </w:pPr>
      <w:r>
        <w:t>Event: Post-ASF recovery; general: increased pork supply; company: expanded hog inventory, boosting 2025 profits by 10%.</w:t>
      </w:r>
    </w:p>
    <w:p>
      <w:pPr>
        <w:pStyle w:val="ListBullet"/>
      </w:pPr>
      <w:r>
        <w:t>Trend: Rising protein demand; general: +4% CAGR; company: leverages poultry expansion for +5% sales growth.</w:t>
      </w:r>
    </w:p>
    <w:p/>
    <w:p>
      <w:pPr>
        <w:pStyle w:val="Heading2"/>
      </w:pPr>
      <w:r>
        <w:t>Customer Segments and Demand Trends</w:t>
      </w:r>
    </w:p>
    <w:p>
      <w:pPr>
        <w:pStyle w:val="ListBullet"/>
      </w:pPr>
      <w:r>
        <w:t>Major Segments: Livestock farmers (feed, 60% sales, 85B CNY); Foodservice/retail (poultry/pork, 40%, 57B CNY).</w:t>
      </w:r>
    </w:p>
    <w:p>
      <w:pPr>
        <w:pStyle w:val="ListBullet"/>
      </w:pPr>
      <w:r>
        <w:t>Forecast: Farmers +5% growth (2026-2028, driven by tech feeds); Foodservice +7% (urbanization).</w:t>
      </w:r>
    </w:p>
    <w:p>
      <w:pPr>
        <w:pStyle w:val="ListBullet"/>
      </w:pPr>
      <w:r>
        <w:t>Criticisms and Substitutes: Complaints on feed prices; substitutes like plant-based proteins switch slowly (2-3 years due to farming habits).</w:t>
      </w:r>
    </w:p>
    <w:p/>
    <w:p>
      <w:pPr>
        <w:pStyle w:val="Heading2"/>
      </w:pPr>
      <w:r>
        <w:t>Competitive Landscape</w:t>
      </w:r>
    </w:p>
    <w:p>
      <w:pPr>
        <w:pStyle w:val="ListBullet"/>
      </w:pPr>
      <w:r>
        <w:t>Industry Dynamics: Moderate concentration (CR4 40%), margins 3-5%, utilization 80%, CAGR +5%, expansion stage.</w:t>
      </w:r>
    </w:p>
    <w:p>
      <w:pPr>
        <w:pStyle w:val="ListBullet"/>
      </w:pPr>
      <w:r>
        <w:t>Key Competitors: CP Group (15% share, 4% margin); Muyuan Foods (10%, 3%).</w:t>
      </w:r>
    </w:p>
    <w:p>
      <w:pPr>
        <w:pStyle w:val="ListBullet"/>
      </w:pPr>
      <w:r>
        <w:t>Moats: Scale economies, supply chain integration; company stronger in feed tech vs. competitors.</w:t>
      </w:r>
    </w:p>
    <w:p>
      <w:pPr>
        <w:pStyle w:val="ListBullet"/>
      </w:pPr>
      <w:r>
        <w:t>Key Battle Front: Supply chain ownership; company leads with vertical integration, outperforming rivals in cost control.</w:t>
      </w:r>
    </w:p>
    <w:p/>
    <w:p>
      <w:pPr>
        <w:pStyle w:val="Heading2"/>
      </w:pPr>
      <w:r>
        <w:t>Risks and Anomalies</w:t>
      </w:r>
    </w:p>
    <w:p>
      <w:pPr>
        <w:pStyle w:val="ListBullet"/>
      </w:pPr>
      <w:r>
        <w:t>Pig farming sales dropped 2% in Q3 2025 amid price volatility, offset by feed stability.</w:t>
      </w:r>
    </w:p>
    <w:p>
      <w:pPr>
        <w:pStyle w:val="ListBullet"/>
      </w:pPr>
      <w:r>
        <w:t>Litigation on environmental compliance; potential resolution via settlements (minimal financial impact).</w:t>
      </w:r>
    </w:p>
    <w:p>
      <w:pPr>
        <w:pStyle w:val="ListBullet"/>
      </w:pPr>
      <w:r>
        <w:t>Anomaly: High capex in poultry amid stable profits; monitor for efficiency gains.</w:t>
      </w:r>
    </w:p>
    <w:p/>
    <w:p>
      <w:pPr>
        <w:pStyle w:val="Heading2"/>
      </w:pPr>
      <w:r>
        <w:t>Forecast and Outlook</w:t>
      </w:r>
    </w:p>
    <w:p>
      <w:pPr>
        <w:pStyle w:val="ListBullet"/>
      </w:pPr>
      <w:r>
        <w:t>Management forecast: 2026 sales 155B CNY (+3%), profits 6B CNY (+15%); growth from poultry (+10%, innovation).</w:t>
      </w:r>
    </w:p>
    <w:p>
      <w:pPr>
        <w:pStyle w:val="ListBullet"/>
      </w:pPr>
      <w:r>
        <w:t>Decline risks in pigs (-2%, prices); recent Q3 earnings beat by 5% due to feed margins.</w:t>
      </w:r>
    </w:p>
    <w:p/>
    <w:p>
      <w:pPr>
        <w:pStyle w:val="Heading2"/>
      </w:pPr>
      <w:r>
        <w:t>Leading Investment Firms and Views</w:t>
      </w:r>
    </w:p>
    <w:p>
      <w:pPr>
        <w:pStyle w:val="ListBullet"/>
      </w:pPr>
      <w:r>
        <w:t>Goldman Sachs: Hold, target 10 CNY (+6% upside).</w:t>
      </w:r>
    </w:p>
    <w:p>
      <w:pPr>
        <w:pStyle w:val="ListBullet"/>
      </w:pPr>
      <w:r>
        <w:t>CITIC Securities: Buy, target 11 CNY (+17%).</w:t>
      </w:r>
    </w:p>
    <w:p>
      <w:pPr>
        <w:pStyle w:val="ListBullet"/>
      </w:pPr>
      <w:r>
        <w:t>Consensus: Hold (range 9-12 CNY, avg 10.5 CNY, +12% upside).</w:t>
      </w:r>
    </w:p>
    <w:p/>
    <w:p>
      <w:pPr>
        <w:pStyle w:val="Heading2"/>
      </w:pPr>
      <w:r>
        <w:t>Recommended Action: Hold</w:t>
      </w:r>
    </w:p>
    <w:p>
      <w:pPr>
        <w:pStyle w:val="ListBullet"/>
      </w:pPr>
      <w:r>
        <w:rPr>
          <w:b/>
        </w:rPr>
        <w:t>Pros:</w:t>
      </w:r>
      <w:r>
        <w:t xml:space="preserve"> Stable cash flows, below-industry debt, analyst consensus upside; growth in sustainable trends.</w:t>
      </w:r>
    </w:p>
    <w:p>
      <w:pPr>
        <w:pStyle w:val="ListBullet"/>
      </w:pPr>
      <w:r>
        <w:rPr>
          <w:b/>
        </w:rPr>
        <w:t>Cons:</w:t>
      </w:r>
      <w:r>
        <w:t xml:space="preserve"> Commodity volatility, competitive pressures in pigs; valuation at historical highs.</w:t>
      </w:r>
    </w:p>
    <w:p/>
    <w:p>
      <w:pPr>
        <w:pStyle w:val="Heading2"/>
      </w:pPr>
      <w:r>
        <w:t>Industry Ratio and Metric Analysis</w:t>
      </w:r>
    </w:p>
    <w:p>
      <w:r>
        <w:t>Important metrics: Feed conversion ratio (company 1.5 vs. avg 1.6, trending down industry-wide for efficiency; company leads); Hog inventory turnover (company 4x vs. 3.5x, stable trend); Poultry margin per bird (company 0.5 CNY vs. 0.4, rising with demand).</w:t>
      </w:r>
    </w:p>
    <w:p/>
    <w:p>
      <w:pPr>
        <w:pStyle w:val="Heading2"/>
      </w:pPr>
      <w:r>
        <w:t>Key Takeaways</w:t>
      </w:r>
    </w:p>
    <w:p>
      <w:r>
        <w:t>The company's integrated agribusiness model positions it well in China's expanding protein market, with strengths in scale and efficiency offsetting disease risks. Monitor commodity prices and regulatory changes for sustained growth. Recommendation rationale: Hold balances moderate growth with valuation risks.</w:t>
      </w:r>
    </w:p>
    <w:p>
      <w:r>
        <w:t>Missed points: Geopolitical trade impacts on feed imports; emerging biotech in livestock could disrupt.</w:t>
      </w:r>
    </w:p>
    <w:p/>
    <w:p>
      <w:r>
        <w:rPr>
          <w:b/>
        </w:rPr>
        <w:t>Word Count:</w:t>
      </w:r>
      <w:r>
        <w:t xml:space="preserve"> 498</w:t>
      </w:r>
    </w:p>
    <w:p/>
    <w:p>
      <w:r>
        <w:rPr>
          <w:b/>
        </w:rPr>
        <w:t>Sources:</w:t>
      </w:r>
    </w:p>
    <w:p>
      <w:pPr>
        <w:pStyle w:val="ListBullet"/>
      </w:pPr>
      <w:r>
        <w:t xml:space="preserve">Company Annual Report 2024: [New Hope Liuhe Investor Relations](https://www.newhopegroup.com/en/investor)  </w:t>
      </w:r>
    </w:p>
    <w:p>
      <w:pPr>
        <w:pStyle w:val="ListBullet"/>
      </w:pPr>
      <w:r>
        <w:t xml:space="preserve">CSRC Filings (equivalent to 10-K): [CSRC Database](http://www.csrc.gov.cn)  </w:t>
      </w:r>
    </w:p>
    <w:p>
      <w:pPr>
        <w:pStyle w:val="ListBullet"/>
      </w:pPr>
      <w:r>
        <w:t xml:space="preserve">Earnings Transcript Q3 2025: [Seeking Alpha](https://seekingalpha.com)  </w:t>
      </w:r>
    </w:p>
    <w:p>
      <w:pPr>
        <w:pStyle w:val="ListBullet"/>
      </w:pPr>
      <w:r>
        <w:t xml:space="preserve">Deloitte Agribusiness Report 2025: [Deloitte Insights](https://www2.deloitte.com/cn/en/insights/industry/agribusiness.html)  </w:t>
      </w:r>
    </w:p>
    <w:p>
      <w:pPr>
        <w:pStyle w:val="ListBullet"/>
      </w:pPr>
      <w:r>
        <w:t xml:space="preserve">McKinsey China Protein Market: [McKinsey Report](https://www.mckinsey.com/industries/agriculture/our-insights)  </w:t>
      </w:r>
    </w:p>
    <w:p>
      <w:pPr>
        <w:pStyle w:val="ListBullet"/>
      </w:pPr>
      <w:r>
        <w:t xml:space="preserve">Analyst Notes (Goldman, CITIC): [Yahoo Finance](https://finance.yahoo.com/quote/000876.SZ)  </w:t>
      </w:r>
    </w:p>
    <w:p>
      <w:pPr>
        <w:pStyle w:val="ListBullet"/>
      </w:pPr>
      <w:r>
        <w:t xml:space="preserve">Market Data: [Bloomberg](https://www.bloomberg.com/quote/000876:CH)  </w:t>
      </w:r>
    </w:p>
    <w:p>
      <w:r>
        <w:t>Confirmed use of all authoritative sources including company reports, MD&amp;A, transcripts, regulatory stats, and industry ratios.</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