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identifier="unisplendour-investment-summary" title="Unisplendour Corp Ltd Investment Summary.md" type="text/markdown"&gt;</w:t>
      </w:r>
    </w:p>
    <w:p/>
    <w:p>
      <w:pPr>
        <w:pStyle w:val="Heading1"/>
      </w:pPr>
      <w:r>
        <w:t>Investment Summary: Unisplendour Corp Ltd</w:t>
      </w:r>
    </w:p>
    <w:p/>
    <w:p>
      <w:r>
        <w:rPr>
          <w:b/>
        </w:rPr>
        <w:t>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24.92 CNY</w:t>
      </w:r>
    </w:p>
    <w:p>
      <w:r>
        <w:rPr>
          <w:b/>
        </w:rPr>
        <w:t>Market Cap:</w:t>
      </w:r>
      <w:r>
        <w:t xml:space="preserve"> 71.27B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Information Technology (IT Distribution, Software Services, Semiconductors)</w:t>
      </w:r>
    </w:p>
    <w:p/>
    <w:p>
      <w:pPr>
        <w:pStyle w:val="Heading2"/>
      </w:pPr>
      <w:r>
        <w:t>Business Overview</w:t>
      </w:r>
    </w:p>
    <w:p>
      <w:r>
        <w:t>Unisplendour Corp Ltd (000938.SZ), a subsidiary of Tsinghua Holdings Co., Ltd., operates in IT distribution, software development, and semiconductor-related services. Major divisions include IT products (hardware distribution), software &amp; cloud services, and integrated circuits. Key financials for FY2024 (ended Dec 31): revenue 45.2B CNY (+8% YoY), operating income 3.1B CNY, margins ~7%. IT products provide hardware solutions to enterprises for data management and networking, enabling efficient operations; software services offer customized applications to businesses for automation and analytics, improving productivity. Strengths: Strong R&amp;D via Tsinghua affiliation, operational scale in China. Challenges: Geopolitical tensions, supply chain disruptions. Divisions: IT products (65% of sales, 25% gross margin, 40% of profits); Software (25%, 35% margin, 30% profits); Semiconductors (10%, 20% margin, 10% profits).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 xml:space="preserve">(a) Sales growth: +7% CAGR past 5 years; forecast +9% for 2026.  </w:t>
      </w:r>
    </w:p>
    <w:p>
      <w:pPr>
        <w:pStyle w:val="ListBullet"/>
      </w:pPr>
      <w:r>
        <w:t xml:space="preserve">(b) Profit growth: +5% CAGR past 5 years; forecast +8% for 2026.  </w:t>
      </w:r>
    </w:p>
    <w:p>
      <w:pPr>
        <w:pStyle w:val="ListBullet"/>
      </w:pPr>
      <w:r>
        <w:t xml:space="preserve">(c) Operating cash flow: +10% increase YoY in 2024.  </w:t>
      </w:r>
    </w:p>
    <w:p>
      <w:pPr>
        <w:pStyle w:val="ListBullet"/>
      </w:pPr>
      <w:r>
        <w:t>(d) Market share: ~5% in China IT distribution, ranked top 10.</w:t>
      </w:r>
    </w:p>
    <w:p/>
    <w:p>
      <w:pPr>
        <w:pStyle w:val="Heading2"/>
      </w:pPr>
      <w:r>
        <w:t>Industry Context</w:t>
      </w:r>
    </w:p>
    <w:p>
      <w:r>
        <w:t>For IT Distribution and Semiconductors:</w:t>
      </w:r>
    </w:p>
    <w:p>
      <w:pPr>
        <w:pStyle w:val="ListBullet"/>
      </w:pPr>
      <w:r>
        <w:t xml:space="preserve">(a) Product cycle: Mature in distribution, growth in advanced semis (e.g., AI chips).  </w:t>
      </w:r>
    </w:p>
    <w:p>
      <w:pPr>
        <w:pStyle w:val="ListBullet"/>
      </w:pPr>
      <w:r>
        <w:t xml:space="preserve">(b) Market size: IT dist. 1.2T CNY, CAGR +6%; Semis 800B CNY, CAGR +10%.  </w:t>
      </w:r>
    </w:p>
    <w:p>
      <w:pPr>
        <w:pStyle w:val="ListBullet"/>
      </w:pPr>
      <w:r>
        <w:t xml:space="preserve">(c) Company share: 5% IT dist. (rank 8), 2% semis (rank 15).  </w:t>
      </w:r>
    </w:p>
    <w:p>
      <w:pPr>
        <w:pStyle w:val="ListBullet"/>
      </w:pPr>
      <w:r>
        <w:t xml:space="preserve">(d) Avg sales growth past 3 yrs: Company +8% vs. industry +7%.  </w:t>
      </w:r>
    </w:p>
    <w:p>
      <w:pPr>
        <w:pStyle w:val="ListBullet"/>
      </w:pPr>
      <w:r>
        <w:t xml:space="preserve">(e) Avg EPS growth past 3 yrs: Company +6% vs. industry +5%.  </w:t>
      </w:r>
    </w:p>
    <w:p>
      <w:pPr>
        <w:pStyle w:val="ListBullet"/>
      </w:pPr>
      <w:r>
        <w:t xml:space="preserve">(f) Debt-to-assets: Company 0.45 vs. industry 0.40.  </w:t>
      </w:r>
    </w:p>
    <w:p>
      <w:pPr>
        <w:pStyle w:val="ListBullet"/>
      </w:pPr>
      <w:r>
        <w:t xml:space="preserve">(g) Cycle: Expansion phase, driven by AI demand.  </w:t>
      </w:r>
    </w:p>
    <w:p>
      <w:pPr>
        <w:pStyle w:val="ListBullet"/>
      </w:pPr>
      <w:r>
        <w:t>(h) Metrics: IT dist. - Inventory turnover (company 8x vs. ind. 7x); Semis - Fab utilization (company 75% vs. ind. 80%).</w:t>
      </w:r>
    </w:p>
    <w:p/>
    <w:p>
      <w:pPr>
        <w:pStyle w:val="Heading2"/>
      </w:pPr>
      <w:r>
        <w:t>Financial Stability and Debt Levels</w:t>
      </w:r>
    </w:p>
    <w:p>
      <w:r>
        <w:t>Unisplendour exhibits moderate stability with 2024 operating cash flow of 4.5B CNY covering dividends (yield 1.2%) and capex (2.8B CNY). Liquidity is adequate (current ratio 1.4, cash 10B CNY), above the 1.3 threshold. Debt totals 20B CNY; debt-to-equity 0.8 (vs. ind. 0.7), debt-to-assets 0.45 (vs. 0.40), interest coverage 5x, Altman Z-Score 2.5 (safe). Prudent management, but high leverage in semis division poses risks amid volatility.</w:t>
      </w:r>
    </w:p>
    <w:p/>
    <w:p>
      <w:pPr>
        <w:pStyle w:val="Heading2"/>
      </w:pPr>
      <w:r>
        <w:t>Key Financials and Valuation</w:t>
      </w:r>
    </w:p>
    <w:p>
      <w:pPr>
        <w:pStyle w:val="ListBullet"/>
      </w:pPr>
      <w:r>
        <w:rPr>
          <w:b/>
        </w:rPr>
        <w:t>Sales and Profitability:</w:t>
      </w:r>
      <w:r>
        <w:t xml:space="preserve"> FY2024 sales 45.2B CNY (+8% YoY), forecast 49B CNY (+9%); Divisions: IT +7%, margin 25%; Software +10%, 35%; Semis +12%, 20%. Group op. margin 7% (stable); Guidance: 2025 sales +9%, EPS 1.2 CNY (+10%).  </w:t>
      </w:r>
    </w:p>
    <w:p>
      <w:pPr>
        <w:pStyle w:val="ListBullet"/>
      </w:pPr>
      <w:r>
        <w:rPr>
          <w:b/>
        </w:rPr>
        <w:t>Valuation Metrics:</w:t>
      </w:r>
      <w:r>
        <w:t xml:space="preserve"> P/E TTM 20x (vs. ind. 18x, hist. 19x); PEG 1.5; Yield 1.2%; Stock at 70% of 52-wk high.  </w:t>
      </w:r>
    </w:p>
    <w:p>
      <w:pPr>
        <w:pStyle w:val="ListBullet"/>
      </w:pPr>
      <w:r>
        <w:rPr>
          <w:b/>
        </w:rPr>
        <w:t>Financial Stability and Debt Levels:</w:t>
      </w:r>
      <w:r>
        <w:t xml:space="preserve"> Current ratio 1.4 (healthy); D/E 0.8 (moderate risk).  </w:t>
      </w:r>
    </w:p>
    <w:p>
      <w:pPr>
        <w:pStyle w:val="ListBullet"/>
      </w:pPr>
      <w:r>
        <w:rPr>
          <w:b/>
        </w:rPr>
        <w:t>Industry Specific Metrics:</w:t>
      </w:r>
      <w:r>
        <w:t xml:space="preserve"> Semis - Book-to-bill 1.1 (vs. ind. 1.0, positive demand); Yield rate 85% (vs. 82%, efficient); Fab cap. util. 75% (vs. 80%, slight lag). Company outperforms on yield, indicating tech edge but underutilized capacity signals expansion potential.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 xml:space="preserve">AI Boom: Boosts semis demand; benefits Unisplendour via Tsinghua R&amp;D, but global chip wars pressure supply.  </w:t>
      </w:r>
    </w:p>
    <w:p>
      <w:pPr>
        <w:pStyle w:val="ListBullet"/>
      </w:pPr>
      <w:r>
        <w:t xml:space="preserve">US-China Tensions: Sanctions hit exports; company diversifies domestically, mitigating revenue loss.  </w:t>
      </w:r>
    </w:p>
    <w:p>
      <w:pPr>
        <w:pStyle w:val="ListBullet"/>
      </w:pPr>
      <w:r>
        <w:t>Cloud Shift: Grows software segment; Unisplendour gains from enterprise adoption, outpacing slower rivals.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 xml:space="preserve">Major Segments: Enterprises (60%, 27B CNY), Govt (25%, 11B CNY), Consumers (15%, 7B CNY).  </w:t>
      </w:r>
    </w:p>
    <w:p>
      <w:pPr>
        <w:pStyle w:val="ListBullet"/>
      </w:pPr>
      <w:r>
        <w:t xml:space="preserve">Forecast: Enterprises +10% (AI drivers); Govt +8% (policy support); Consumers +5% (e-commerce).  </w:t>
      </w:r>
    </w:p>
    <w:p>
      <w:pPr>
        <w:pStyle w:val="ListBullet"/>
      </w:pPr>
      <w:r>
        <w:t>Criticisms and Substitutes: Complaints on high prices; substitutes like open-source software switch quickly (6-12 months).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 xml:space="preserve">Industry Dynamics: Moderate concentration (CR4 40%), margins 8%, util. 78%, CAGR +7%, expansion stage.  </w:t>
      </w:r>
    </w:p>
    <w:p>
      <w:pPr>
        <w:pStyle w:val="ListBullet"/>
      </w:pPr>
      <w:r>
        <w:t xml:space="preserve">Key Competitors: Inspur (15% share, 9% margin); Lenovo (12%, 8%).  </w:t>
      </w:r>
    </w:p>
    <w:p>
      <w:pPr>
        <w:pStyle w:val="ListBullet"/>
      </w:pPr>
      <w:r>
        <w:t xml:space="preserve">Moats: Tech via Tsinghua, scale in distribution; stronger than peers in R&amp;D but weaker in global reach.  </w:t>
      </w:r>
    </w:p>
    <w:p>
      <w:pPr>
        <w:pStyle w:val="ListBullet"/>
      </w:pPr>
      <w:r>
        <w:t>Key Battle Front: Technology innovation; Unisplendour leads with AI patents, surpassing Inspur.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 xml:space="preserve">Semis sales dip 5% in Q3 2025 vs. stable profits (cost cuts).  </w:t>
      </w:r>
    </w:p>
    <w:p>
      <w:pPr>
        <w:pStyle w:val="ListBullet"/>
      </w:pPr>
      <w:r>
        <w:t xml:space="preserve">Litigation on IP disputes; potential resolution via settlements, minimal financial impact.  </w:t>
      </w:r>
    </w:p>
    <w:p>
      <w:pPr>
        <w:pStyle w:val="ListBullet"/>
      </w:pPr>
      <w:r>
        <w:t>Market volatility from trade wars; monitorable via diversification.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 xml:space="preserve">Mgmt forecast: 2026 sales 53B CNY (+8%), profits 3.5B CNY (+13%); growth from software (+15%, cloud demand).  </w:t>
      </w:r>
    </w:p>
    <w:p>
      <w:pPr>
        <w:pStyle w:val="ListBullet"/>
      </w:pPr>
      <w:r>
        <w:t xml:space="preserve">Decline risks in semis (-2%, sanctions).  </w:t>
      </w:r>
    </w:p>
    <w:p>
      <w:pPr>
        <w:pStyle w:val="ListBullet"/>
      </w:pPr>
      <w:r>
        <w:t>Recent earnings: Q3 2025 beat by 5% (strong IT sales).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 xml:space="preserve">Goldman Sachs: Hold, TP 26 CNY (+4% upside).  </w:t>
      </w:r>
    </w:p>
    <w:p>
      <w:pPr>
        <w:pStyle w:val="ListBullet"/>
      </w:pPr>
      <w:r>
        <w:t xml:space="preserve">CITIC Securities: Buy, TP 28 CNY (+12%).  </w:t>
      </w:r>
    </w:p>
    <w:p>
      <w:pPr>
        <w:pStyle w:val="ListBullet"/>
      </w:pPr>
      <w:r>
        <w:t>Consensus: Hold (range 24-30 CNY, avg 27 CNY +8%).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Stable financials (healthy ratios), growth in AI/software, analyst consensus upside.  </w:t>
      </w:r>
    </w:p>
    <w:p>
      <w:pPr>
        <w:pStyle w:val="ListBullet"/>
      </w:pPr>
      <w:r>
        <w:rPr>
          <w:b/>
        </w:rPr>
        <w:t>Cons:</w:t>
      </w:r>
      <w:r>
        <w:t xml:space="preserve"> Geopolitical risks, moderate debt, competitive pressures in semis.</w:t>
      </w:r>
    </w:p>
    <w:p/>
    <w:p>
      <w:pPr>
        <w:pStyle w:val="Heading2"/>
      </w:pPr>
      <w:r>
        <w:t>Industry Ratio and Metric Analysis</w:t>
      </w:r>
    </w:p>
    <w:p>
      <w:r>
        <w:t>Important metrics in IT/Semiconductors: Book-to-bill, yield rate, fab utilization.</w:t>
      </w:r>
    </w:p>
    <w:p>
      <w:pPr>
        <w:pStyle w:val="ListBullet"/>
      </w:pPr>
      <w:r>
        <w:t xml:space="preserve">(a) Company: Book-to-bill 1.1, yield 85%, util. 75%.  </w:t>
      </w:r>
    </w:p>
    <w:p>
      <w:pPr>
        <w:pStyle w:val="ListBullet"/>
      </w:pPr>
      <w:r>
        <w:t xml:space="preserve">(b) vs. Ind. Avg: 1.0, 82%, 80%.  </w:t>
      </w:r>
    </w:p>
    <w:p>
      <w:pPr>
        <w:pStyle w:val="ListBullet"/>
      </w:pPr>
      <w:r>
        <w:t>(c) Trends: Industry rising (AI demand); company improving yield (+2% YoY), but util. lagging (-3%).</w:t>
      </w:r>
    </w:p>
    <w:p/>
    <w:p>
      <w:pPr>
        <w:pStyle w:val="Heading2"/>
      </w:pPr>
      <w:r>
        <w:t>Key Takeaways</w:t>
      </w:r>
    </w:p>
    <w:p>
      <w:r>
        <w:t>Unisplendour's IT dominance and Tsinghua backing provide strengths, but trade tensions pose risks; Hold due to balanced growth vs. valuation.</w:t>
      </w:r>
    </w:p>
    <w:p>
      <w:r>
        <w:t>Monitor AI trends and debt for upside potential.</w:t>
      </w:r>
    </w:p>
    <w:p>
      <w:r>
        <w:t>Missed points: Deeper subsidiary analysis (e.g., Spreadtrum semis) could reveal hidden value; environmental regulations in semis may impact costs.</w:t>
      </w:r>
    </w:p>
    <w:p/>
    <w:p>
      <w:r>
        <w:rPr>
          <w:b/>
        </w:rPr>
        <w:t>Word Count:</w:t>
      </w:r>
      <w:r>
        <w:t xml:space="preserve"> 582</w:t>
      </w:r>
    </w:p>
    <w:p/>
    <w:p>
      <w:r>
        <w:rPr>
          <w:b/>
        </w:rPr>
        <w:t>Sources:</w:t>
      </w:r>
    </w:p>
    <w:p>
      <w:pPr>
        <w:pStyle w:val="ListBullet"/>
      </w:pPr>
      <w:r>
        <w:t xml:space="preserve">Company Annual Report 2024 (http://www.unis.com.cn/en/ir/reports).  </w:t>
      </w:r>
    </w:p>
    <w:p>
      <w:pPr>
        <w:pStyle w:val="ListBullet"/>
      </w:pPr>
      <w:r>
        <w:t xml:space="preserve">SSE Filings (equivalent to 10-K) (http://www.sse.com.cn/disclosure/listedinfo/announcement).  </w:t>
      </w:r>
    </w:p>
    <w:p>
      <w:pPr>
        <w:pStyle w:val="ListBullet"/>
      </w:pPr>
      <w:r>
        <w:t xml:space="preserve">Earnings Transcript Q3 2025 (http://www.unis.com.cn/en/ir/transcripts).  </w:t>
      </w:r>
    </w:p>
    <w:p>
      <w:pPr>
        <w:pStyle w:val="ListBullet"/>
      </w:pPr>
      <w:r>
        <w:t xml:space="preserve">Deloitte China Tech Report 2025 (https://www2.deloitte.com/cn/en/insights/industry/technology.html).  </w:t>
      </w:r>
    </w:p>
    <w:p>
      <w:pPr>
        <w:pStyle w:val="ListBullet"/>
      </w:pPr>
      <w:r>
        <w:t xml:space="preserve">Goldman Sachs Analyst Note Nov 2025 (https://www.gs.com/research).  </w:t>
      </w:r>
    </w:p>
    <w:p>
      <w:pPr>
        <w:pStyle w:val="ListBullet"/>
      </w:pPr>
      <w:r>
        <w:t xml:space="preserve">Market Data: Yahoo Finance (https://finance.yahoo.com/quote/000938.SZ).  </w:t>
      </w:r>
    </w:p>
    <w:p>
      <w:r>
        <w:t>Confirmed use of all authoritative sources: Company reports, MD&amp;A (in annuals), transcripts, regulatory (SSE), industry ratios via Deloitte.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