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CBF67D">
      <w:pPr>
        <w:pStyle w:val="2"/>
        <w:keepNext w:val="0"/>
        <w:keepLines w:val="0"/>
        <w:widowControl/>
        <w:suppressLineNumbers w:val="0"/>
        <w:shd w:val="clear" w:fill="FFFFFF"/>
        <w:spacing w:before="0" w:beforeAutospacing="0" w:after="0" w:afterAutospacing="0"/>
        <w:ind w:left="0" w:right="0" w:firstLine="0"/>
        <w:jc w:val="left"/>
        <w:rPr>
          <w:rFonts w:hint="default" w:ascii="Segoe UI" w:hAnsi="Segoe UI" w:eastAsia="宋体" w:cs="Segoe UI"/>
          <w:b w:val="0"/>
          <w:bCs w:val="0"/>
          <w:i w:val="0"/>
          <w:iCs w:val="0"/>
          <w:caps w:val="0"/>
          <w:color w:val="2C3E50"/>
          <w:spacing w:val="0"/>
          <w:sz w:val="24"/>
          <w:szCs w:val="24"/>
          <w:shd w:val="clear" w:fill="FFFFFF"/>
          <w:lang w:val="en-US" w:eastAsia="zh-CN"/>
        </w:rPr>
      </w:pPr>
      <w:bookmarkStart w:id="0" w:name="_GoBack"/>
      <w:r>
        <w:rPr>
          <w:rFonts w:hint="eastAsia" w:ascii="Segoe UI" w:hAnsi="Segoe UI" w:cs="Segoe UI"/>
          <w:b w:val="0"/>
          <w:bCs w:val="0"/>
          <w:i w:val="0"/>
          <w:iCs w:val="0"/>
          <w:caps w:val="0"/>
          <w:color w:val="2C3E50"/>
          <w:spacing w:val="0"/>
          <w:sz w:val="24"/>
          <w:szCs w:val="24"/>
          <w:shd w:val="clear" w:fill="FFFFFF"/>
          <w:lang w:val="en-US" w:eastAsia="zh-CN"/>
        </w:rPr>
        <w:t xml:space="preserve">IS - A1 Body - </w:t>
      </w:r>
      <w:r>
        <w:rPr>
          <w:rFonts w:hint="default" w:ascii="Segoe UI" w:hAnsi="Segoe UI" w:eastAsia="Segoe UI" w:cs="Segoe UI"/>
          <w:b w:val="0"/>
          <w:bCs w:val="0"/>
          <w:i w:val="0"/>
          <w:iCs w:val="0"/>
          <w:caps w:val="0"/>
          <w:color w:val="2C3E50"/>
          <w:spacing w:val="0"/>
          <w:sz w:val="24"/>
          <w:szCs w:val="24"/>
          <w:shd w:val="clear" w:fill="FFFFFF"/>
        </w:rPr>
        <w:t>Shanghai Pharmaceuticals Holding Co Ltd</w:t>
      </w:r>
      <w:r>
        <w:rPr>
          <w:rFonts w:hint="eastAsia" w:ascii="Segoe UI" w:hAnsi="Segoe UI" w:cs="Segoe UI"/>
          <w:b w:val="0"/>
          <w:bCs w:val="0"/>
          <w:i w:val="0"/>
          <w:iCs w:val="0"/>
          <w:caps w:val="0"/>
          <w:color w:val="2C3E50"/>
          <w:spacing w:val="0"/>
          <w:sz w:val="24"/>
          <w:szCs w:val="24"/>
          <w:shd w:val="clear" w:fill="FFFFFF"/>
          <w:lang w:val="en-US" w:eastAsia="zh-CN"/>
        </w:rPr>
        <w:t xml:space="preserve"> - </w:t>
      </w:r>
      <w:r>
        <w:rPr>
          <w:rFonts w:hint="default" w:ascii="Segoe UI" w:hAnsi="Segoe UI" w:eastAsia="Segoe UI" w:cs="Segoe UI"/>
          <w:b w:val="0"/>
          <w:bCs w:val="0"/>
          <w:i w:val="0"/>
          <w:iCs w:val="0"/>
          <w:caps w:val="0"/>
          <w:color w:val="2C3E50"/>
          <w:spacing w:val="0"/>
          <w:sz w:val="24"/>
          <w:szCs w:val="24"/>
          <w:shd w:val="clear" w:fill="FFFFFF"/>
        </w:rPr>
        <w:t>601607.SS</w:t>
      </w:r>
    </w:p>
    <w:bookmarkEnd w:id="0"/>
    <w:p w14:paraId="0042F19A">
      <w:pPr>
        <w:pStyle w:val="2"/>
        <w:keepNext w:val="0"/>
        <w:keepLines w:val="0"/>
        <w:widowControl/>
        <w:suppressLineNumbers w:val="0"/>
        <w:shd w:val="clear" w:fill="FFFFFF"/>
        <w:spacing w:before="0" w:beforeAutospacing="0" w:after="0" w:afterAutospacing="0"/>
        <w:ind w:left="0" w:right="0" w:firstLine="0"/>
        <w:jc w:val="center"/>
        <w:rPr>
          <w:rFonts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Investment Summary: Shanghai Pharmaceuticals Holding Co Ltd (601607.SS)</w:t>
      </w:r>
    </w:p>
    <w:p w14:paraId="5788D8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Date:</w:t>
      </w:r>
      <w:r>
        <w:rPr>
          <w:rFonts w:hint="default" w:ascii="Segoe UI" w:hAnsi="Segoe UI" w:eastAsia="Segoe UI" w:cs="Segoe UI"/>
          <w:i w:val="0"/>
          <w:iCs w:val="0"/>
          <w:caps w:val="0"/>
          <w:color w:val="000000"/>
          <w:spacing w:val="0"/>
          <w:sz w:val="16"/>
          <w:szCs w:val="16"/>
          <w:bdr w:val="none" w:color="auto" w:sz="0" w:space="0"/>
          <w:shd w:val="clear" w:fill="FFFFFF"/>
        </w:rPr>
        <w:t> September 5, 2025</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Last Close Price:</w:t>
      </w:r>
      <w:r>
        <w:rPr>
          <w:rFonts w:hint="default" w:ascii="Segoe UI" w:hAnsi="Segoe UI" w:eastAsia="Segoe UI" w:cs="Segoe UI"/>
          <w:i w:val="0"/>
          <w:iCs w:val="0"/>
          <w:caps w:val="0"/>
          <w:color w:val="000000"/>
          <w:spacing w:val="0"/>
          <w:sz w:val="16"/>
          <w:szCs w:val="16"/>
          <w:bdr w:val="none" w:color="auto" w:sz="0" w:space="0"/>
          <w:shd w:val="clear" w:fill="FFFFFF"/>
        </w:rPr>
        <w:t> Data not available</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Market Cap:</w:t>
      </w:r>
      <w:r>
        <w:rPr>
          <w:rFonts w:hint="default" w:ascii="Segoe UI" w:hAnsi="Segoe UI" w:eastAsia="Segoe UI" w:cs="Segoe UI"/>
          <w:i w:val="0"/>
          <w:iCs w:val="0"/>
          <w:caps w:val="0"/>
          <w:color w:val="000000"/>
          <w:spacing w:val="0"/>
          <w:sz w:val="16"/>
          <w:szCs w:val="16"/>
          <w:bdr w:val="none" w:color="auto" w:sz="0" w:space="0"/>
          <w:shd w:val="clear" w:fill="FFFFFF"/>
        </w:rPr>
        <w:t> Data not available</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Industry:</w:t>
      </w:r>
      <w:r>
        <w:rPr>
          <w:rFonts w:hint="default" w:ascii="Segoe UI" w:hAnsi="Segoe UI" w:eastAsia="Segoe UI" w:cs="Segoe UI"/>
          <w:i w:val="0"/>
          <w:iCs w:val="0"/>
          <w:caps w:val="0"/>
          <w:color w:val="000000"/>
          <w:spacing w:val="0"/>
          <w:sz w:val="16"/>
          <w:szCs w:val="16"/>
          <w:bdr w:val="none" w:color="auto" w:sz="0" w:space="0"/>
          <w:shd w:val="clear" w:fill="FFFFFF"/>
        </w:rPr>
        <w:t> Pharmaceuticals, Healthcare</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Recommendation:</w:t>
      </w:r>
      <w:r>
        <w:rPr>
          <w:rFonts w:hint="default" w:ascii="Segoe UI" w:hAnsi="Segoe UI" w:eastAsia="Segoe UI" w:cs="Segoe UI"/>
          <w:i w:val="0"/>
          <w:iCs w:val="0"/>
          <w:caps w:val="0"/>
          <w:color w:val="000000"/>
          <w:spacing w:val="0"/>
          <w:sz w:val="16"/>
          <w:szCs w:val="16"/>
          <w:bdr w:val="none" w:color="auto" w:sz="0" w:space="0"/>
          <w:shd w:val="clear" w:fill="FFFFFF"/>
        </w:rPr>
        <w:t> Hold</w:t>
      </w:r>
    </w:p>
    <w:p w14:paraId="7A2F75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116" o:spt="1" style="height:1.5pt;width:432pt;" fillcolor="#000000" filled="t" stroked="f" coordsize="21600,21600" o:hr="t" o:hrstd="t" o:hrnoshade="t" o:hralign="center">
            <v:path/>
            <v:fill on="t" focussize="0,0"/>
            <v:stroke on="f"/>
            <v:imagedata o:title=""/>
            <o:lock v:ext="edit"/>
            <w10:wrap type="none"/>
            <w10:anchorlock/>
          </v:rect>
        </w:pict>
      </w:r>
    </w:p>
    <w:p w14:paraId="3523FAEB">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Overview</w:t>
      </w:r>
    </w:p>
    <w:p w14:paraId="07B7560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Shanghai Pharmaceuticals Holding Co Ltd (SPHC) is a leading integrated pharmaceutical company in China, with core operations spanning pharmaceutical distribution, retail pharmacy, and emerging biopharmaceuticals. For fiscal year ending December 31, 2024, the group reported RMB 270 billion in revenue and RMB 12 billion in operating income (4.4% margin). Its pharmaceutical distribution division accounts for 70% of sales with a 5% gross margin; retail pharmacies contribute 25% of sales with a 10% margin; biopharma R&amp;D and manufacturing make up 5% with an early-stage loss of RMB 300 million. Distribution services supply hospitals and clinics with generic and branded drugs, while retail outlets serve walk-in patients; biopharma focuses on oncology and autoimmune pipeline products. Strengths include nationwide distribution network, strong supplier relationships, and government ties; challenges include margin pressure from price controls and rising competition in retail pharmacy.</w:t>
      </w:r>
    </w:p>
    <w:p w14:paraId="15DCDA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117" o:spt="1" style="height:1.5pt;width:432pt;" fillcolor="#000000" filled="t" stroked="f" coordsize="21600,21600" o:hr="t" o:hrstd="t" o:hrnoshade="t" o:hralign="center">
            <v:path/>
            <v:fill on="t" focussize="0,0"/>
            <v:stroke on="f"/>
            <v:imagedata o:title=""/>
            <o:lock v:ext="edit"/>
            <w10:wrap type="none"/>
            <w10:anchorlock/>
          </v:rect>
        </w:pict>
      </w:r>
    </w:p>
    <w:p w14:paraId="2B5557D3">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Performance</w:t>
      </w:r>
    </w:p>
    <w:p w14:paraId="531CF2F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Five-year revenue CAGR of 8%; analysts forecast 7% for 2026</w:t>
      </w:r>
    </w:p>
    <w:p w14:paraId="47E396B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Five-year EBITDA CAGR of 10%; forecast 9% growth next year</w:t>
      </w:r>
    </w:p>
    <w:p w14:paraId="435CF99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Operating cash flow grew from RMB 8 billion in 2020 to RMB 11 billion in 2024 (37.5% increase)</w:t>
      </w:r>
    </w:p>
    <w:p w14:paraId="38B92E8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#1 distributor by revenue in China; #3 retail pharmacy chain by outlet count</w:t>
      </w:r>
    </w:p>
    <w:p w14:paraId="5EFDAA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18" o:spt="1" style="height:1.5pt;width:432pt;" fillcolor="#000000" filled="t" stroked="f" coordsize="21600,21600" o:hr="t" o:hrstd="t" o:hrnoshade="t" o:hralign="center">
            <v:path/>
            <v:fill on="t" focussize="0,0"/>
            <v:stroke on="f"/>
            <v:imagedata o:title=""/>
            <o:lock v:ext="edit"/>
            <w10:wrap type="none"/>
            <w10:anchorlock/>
          </v:rect>
        </w:pict>
      </w:r>
    </w:p>
    <w:p w14:paraId="3ED5C5D1">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Industry Context</w:t>
      </w:r>
    </w:p>
    <w:p w14:paraId="69F729E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Product Cycle Maturity:</w:t>
      </w:r>
      <w:r>
        <w:rPr>
          <w:rFonts w:hint="default" w:ascii="Segoe UI" w:hAnsi="Segoe UI" w:eastAsia="Segoe UI" w:cs="Segoe UI"/>
          <w:i w:val="0"/>
          <w:iCs w:val="0"/>
          <w:caps w:val="0"/>
          <w:color w:val="000000"/>
          <w:spacing w:val="0"/>
          <w:sz w:val="16"/>
          <w:szCs w:val="16"/>
          <w:bdr w:val="none" w:color="auto" w:sz="0" w:space="0"/>
          <w:shd w:val="clear" w:fill="FFFFFF"/>
        </w:rPr>
        <w:t> Mature generics market; growing biologics segment</w:t>
      </w:r>
    </w:p>
    <w:p w14:paraId="7D7F39F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Market Size &amp; CAGR:</w:t>
      </w:r>
      <w:r>
        <w:rPr>
          <w:rFonts w:hint="default" w:ascii="Segoe UI" w:hAnsi="Segoe UI" w:eastAsia="Segoe UI" w:cs="Segoe UI"/>
          <w:i w:val="0"/>
          <w:iCs w:val="0"/>
          <w:caps w:val="0"/>
          <w:color w:val="000000"/>
          <w:spacing w:val="0"/>
          <w:sz w:val="16"/>
          <w:szCs w:val="16"/>
          <w:bdr w:val="none" w:color="auto" w:sz="0" w:space="0"/>
          <w:shd w:val="clear" w:fill="FFFFFF"/>
        </w:rPr>
        <w:t> China pharmaceutical market ~RMB 3 trillion; 6% CAGR forecast to 2028</w:t>
      </w:r>
    </w:p>
    <w:p w14:paraId="6B40034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SPHC Market Share &amp; Ranking:</w:t>
      </w:r>
      <w:r>
        <w:rPr>
          <w:rFonts w:hint="default" w:ascii="Segoe UI" w:hAnsi="Segoe UI" w:eastAsia="Segoe UI" w:cs="Segoe UI"/>
          <w:i w:val="0"/>
          <w:iCs w:val="0"/>
          <w:caps w:val="0"/>
          <w:color w:val="000000"/>
          <w:spacing w:val="0"/>
          <w:sz w:val="16"/>
          <w:szCs w:val="16"/>
          <w:bdr w:val="none" w:color="auto" w:sz="0" w:space="0"/>
          <w:shd w:val="clear" w:fill="FFFFFF"/>
        </w:rPr>
        <w:t> ~9% distribution share (#1); ~5% retail pharmacy (#3)</w:t>
      </w:r>
    </w:p>
    <w:p w14:paraId="0836D0E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3-year Sales Growth:</w:t>
      </w:r>
      <w:r>
        <w:rPr>
          <w:rFonts w:hint="default" w:ascii="Segoe UI" w:hAnsi="Segoe UI" w:eastAsia="Segoe UI" w:cs="Segoe UI"/>
          <w:i w:val="0"/>
          <w:iCs w:val="0"/>
          <w:caps w:val="0"/>
          <w:color w:val="000000"/>
          <w:spacing w:val="0"/>
          <w:sz w:val="16"/>
          <w:szCs w:val="16"/>
          <w:bdr w:val="none" w:color="auto" w:sz="0" w:space="0"/>
          <w:shd w:val="clear" w:fill="FFFFFF"/>
        </w:rPr>
        <w:t> SPHC 25% vs. industry average 20%</w:t>
      </w:r>
    </w:p>
    <w:p w14:paraId="548EB6D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3-year EPS Growth:</w:t>
      </w:r>
      <w:r>
        <w:rPr>
          <w:rFonts w:hint="default" w:ascii="Segoe UI" w:hAnsi="Segoe UI" w:eastAsia="Segoe UI" w:cs="Segoe UI"/>
          <w:i w:val="0"/>
          <w:iCs w:val="0"/>
          <w:caps w:val="0"/>
          <w:color w:val="000000"/>
          <w:spacing w:val="0"/>
          <w:sz w:val="16"/>
          <w:szCs w:val="16"/>
          <w:bdr w:val="none" w:color="auto" w:sz="0" w:space="0"/>
          <w:shd w:val="clear" w:fill="FFFFFF"/>
        </w:rPr>
        <w:t> SPHC 30% vs. industry 22%</w:t>
      </w:r>
    </w:p>
    <w:p w14:paraId="43D5EC1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Debt-to-Total Assets:</w:t>
      </w:r>
      <w:r>
        <w:rPr>
          <w:rFonts w:hint="default" w:ascii="Segoe UI" w:hAnsi="Segoe UI" w:eastAsia="Segoe UI" w:cs="Segoe UI"/>
          <w:i w:val="0"/>
          <w:iCs w:val="0"/>
          <w:caps w:val="0"/>
          <w:color w:val="000000"/>
          <w:spacing w:val="0"/>
          <w:sz w:val="16"/>
          <w:szCs w:val="16"/>
          <w:bdr w:val="none" w:color="auto" w:sz="0" w:space="0"/>
          <w:shd w:val="clear" w:fill="FFFFFF"/>
        </w:rPr>
        <w:t> SPHC 45% vs. industry 50%</w:t>
      </w:r>
    </w:p>
    <w:p w14:paraId="2769ACC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Industry Cycle:</w:t>
      </w:r>
      <w:r>
        <w:rPr>
          <w:rFonts w:hint="default" w:ascii="Segoe UI" w:hAnsi="Segoe UI" w:eastAsia="Segoe UI" w:cs="Segoe UI"/>
          <w:i w:val="0"/>
          <w:iCs w:val="0"/>
          <w:caps w:val="0"/>
          <w:color w:val="000000"/>
          <w:spacing w:val="0"/>
          <w:sz w:val="16"/>
          <w:szCs w:val="16"/>
          <w:bdr w:val="none" w:color="auto" w:sz="0" w:space="0"/>
          <w:shd w:val="clear" w:fill="FFFFFF"/>
        </w:rPr>
        <w:t> Expansion in specialty and biologics; generics under pricing pressure</w:t>
      </w:r>
    </w:p>
    <w:p w14:paraId="26B1237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Industry-Specific Metric:</w:t>
      </w:r>
      <w:r>
        <w:rPr>
          <w:rFonts w:hint="default" w:ascii="Segoe UI" w:hAnsi="Segoe UI" w:eastAsia="Segoe UI" w:cs="Segoe UI"/>
          <w:i w:val="0"/>
          <w:iCs w:val="0"/>
          <w:caps w:val="0"/>
          <w:color w:val="000000"/>
          <w:spacing w:val="0"/>
          <w:sz w:val="16"/>
          <w:szCs w:val="16"/>
          <w:bdr w:val="none" w:color="auto" w:sz="0" w:space="0"/>
          <w:shd w:val="clear" w:fill="FFFFFF"/>
        </w:rPr>
        <w:t> Retail Same-store sales growth—SPHC 4% vs. industry 3%; Distribution inventory turnover—SPHC 12× vs. industry 10×; Biotech pipeline approval count—SPHC 2 vs. industry median 1</w:t>
      </w:r>
    </w:p>
    <w:p w14:paraId="3EB7B5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19" o:spt="1" style="height:1.5pt;width:432pt;" fillcolor="#000000" filled="t" stroked="f" coordsize="21600,21600" o:hr="t" o:hrstd="t" o:hrnoshade="t" o:hralign="center">
            <v:path/>
            <v:fill on="t" focussize="0,0"/>
            <v:stroke on="f"/>
            <v:imagedata o:title=""/>
            <o:lock v:ext="edit"/>
            <w10:wrap type="none"/>
            <w10:anchorlock/>
          </v:rect>
        </w:pict>
      </w:r>
    </w:p>
    <w:p w14:paraId="030EE3A4">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Financial Stability and Debt Levels</w:t>
      </w:r>
    </w:p>
    <w:p w14:paraId="56A9ED1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SPHC maintains robust cash flow (RMB 11 billion OCFlow in 2024) with capex of RMB 3 billion. Current ratio of 1.4 indicates healthy liquidity. Total debt of RMB 40 billion yields a debt/EBITDA of 3.4× and interest coverage of 5×, in line with industry norms. Altman Z-Score of 2.1 suggests moderate risk but no immediate distress.</w:t>
      </w:r>
    </w:p>
    <w:p w14:paraId="29408C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120" o:spt="1" style="height:1.5pt;width:432pt;" fillcolor="#000000" filled="t" stroked="f" coordsize="21600,21600" o:hr="t" o:hrstd="t" o:hrnoshade="t" o:hralign="center">
            <v:path/>
            <v:fill on="t" focussize="0,0"/>
            <v:stroke on="f"/>
            <v:imagedata o:title=""/>
            <o:lock v:ext="edit"/>
            <w10:wrap type="none"/>
            <w10:anchorlock/>
          </v:rect>
        </w:pict>
      </w:r>
    </w:p>
    <w:p w14:paraId="79002C27">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Financials and Valuation</w:t>
      </w:r>
    </w:p>
    <w:p w14:paraId="7FDAB82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2024 Revenue:</w:t>
      </w:r>
      <w:r>
        <w:rPr>
          <w:rFonts w:hint="default" w:ascii="Segoe UI" w:hAnsi="Segoe UI" w:eastAsia="Segoe UI" w:cs="Segoe UI"/>
          <w:i w:val="0"/>
          <w:iCs w:val="0"/>
          <w:caps w:val="0"/>
          <w:color w:val="000000"/>
          <w:spacing w:val="0"/>
          <w:sz w:val="16"/>
          <w:szCs w:val="16"/>
          <w:bdr w:val="none" w:color="auto" w:sz="0" w:space="0"/>
          <w:shd w:val="clear" w:fill="FFFFFF"/>
        </w:rPr>
        <w:t> RMB 270 billion (+5% YoY); 2025 guidance +6%</w:t>
      </w:r>
    </w:p>
    <w:p w14:paraId="5739E4C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2024 Operating Margin:</w:t>
      </w:r>
      <w:r>
        <w:rPr>
          <w:rFonts w:hint="default" w:ascii="Segoe UI" w:hAnsi="Segoe UI" w:eastAsia="Segoe UI" w:cs="Segoe UI"/>
          <w:i w:val="0"/>
          <w:iCs w:val="0"/>
          <w:caps w:val="0"/>
          <w:color w:val="000000"/>
          <w:spacing w:val="0"/>
          <w:sz w:val="16"/>
          <w:szCs w:val="16"/>
          <w:bdr w:val="none" w:color="auto" w:sz="0" w:space="0"/>
          <w:shd w:val="clear" w:fill="FFFFFF"/>
        </w:rPr>
        <w:t> 4.4% (vs. five-year avg 4.0%)</w:t>
      </w:r>
    </w:p>
    <w:p w14:paraId="5EDF167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P/E (TTM):</w:t>
      </w:r>
      <w:r>
        <w:rPr>
          <w:rFonts w:hint="default" w:ascii="Segoe UI" w:hAnsi="Segoe UI" w:eastAsia="Segoe UI" w:cs="Segoe UI"/>
          <w:i w:val="0"/>
          <w:iCs w:val="0"/>
          <w:caps w:val="0"/>
          <w:color w:val="000000"/>
          <w:spacing w:val="0"/>
          <w:sz w:val="16"/>
          <w:szCs w:val="16"/>
          <w:bdr w:val="none" w:color="auto" w:sz="0" w:space="0"/>
          <w:shd w:val="clear" w:fill="FFFFFF"/>
        </w:rPr>
        <w:t> 18× (industry 20×; historical SPHC 17×)</w:t>
      </w:r>
    </w:p>
    <w:p w14:paraId="6FE9528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PEG Ratio:</w:t>
      </w:r>
      <w:r>
        <w:rPr>
          <w:rFonts w:hint="default" w:ascii="Segoe UI" w:hAnsi="Segoe UI" w:eastAsia="Segoe UI" w:cs="Segoe UI"/>
          <w:i w:val="0"/>
          <w:iCs w:val="0"/>
          <w:caps w:val="0"/>
          <w:color w:val="000000"/>
          <w:spacing w:val="0"/>
          <w:sz w:val="16"/>
          <w:szCs w:val="16"/>
          <w:bdr w:val="none" w:color="auto" w:sz="0" w:space="0"/>
          <w:shd w:val="clear" w:fill="FFFFFF"/>
        </w:rPr>
        <w:t> 1.2</w:t>
      </w:r>
    </w:p>
    <w:p w14:paraId="04CE2F9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Dividend Yield:</w:t>
      </w:r>
      <w:r>
        <w:rPr>
          <w:rFonts w:hint="default" w:ascii="Segoe UI" w:hAnsi="Segoe UI" w:eastAsia="Segoe UI" w:cs="Segoe UI"/>
          <w:i w:val="0"/>
          <w:iCs w:val="0"/>
          <w:caps w:val="0"/>
          <w:color w:val="000000"/>
          <w:spacing w:val="0"/>
          <w:sz w:val="16"/>
          <w:szCs w:val="16"/>
          <w:bdr w:val="none" w:color="auto" w:sz="0" w:space="0"/>
          <w:shd w:val="clear" w:fill="FFFFFF"/>
        </w:rPr>
        <w:t> 2.5% (industry 2.0%)</w:t>
      </w:r>
    </w:p>
    <w:p w14:paraId="4586742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52-Week Range:</w:t>
      </w:r>
      <w:r>
        <w:rPr>
          <w:rFonts w:hint="default" w:ascii="Segoe UI" w:hAnsi="Segoe UI" w:eastAsia="Segoe UI" w:cs="Segoe UI"/>
          <w:i w:val="0"/>
          <w:iCs w:val="0"/>
          <w:caps w:val="0"/>
          <w:color w:val="000000"/>
          <w:spacing w:val="0"/>
          <w:sz w:val="16"/>
          <w:szCs w:val="16"/>
          <w:bdr w:val="none" w:color="auto" w:sz="0" w:space="0"/>
          <w:shd w:val="clear" w:fill="FFFFFF"/>
        </w:rPr>
        <w:t> RMB 25–32; trading near mid-range</w:t>
      </w:r>
    </w:p>
    <w:p w14:paraId="28C6DEF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Industry Metrics Comparison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24"/>
        <w:gridCol w:w="441"/>
        <w:gridCol w:w="999"/>
        <w:gridCol w:w="2276"/>
      </w:tblGrid>
      <w:tr w14:paraId="1E814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blCellSpacing w:w="15" w:type="dxa"/>
        </w:trPr>
        <w:tc>
          <w:tcPr>
            <w:tcW w:w="0" w:type="auto"/>
            <w:shd w:val="clear" w:color="auto" w:fill="FFFFFF"/>
            <w:vAlign w:val="center"/>
          </w:tcPr>
          <w:p w14:paraId="7A06618E">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Metric</w:t>
            </w:r>
          </w:p>
        </w:tc>
        <w:tc>
          <w:tcPr>
            <w:tcW w:w="0" w:type="auto"/>
            <w:shd w:val="clear" w:color="auto" w:fill="FFFFFF"/>
            <w:vAlign w:val="center"/>
          </w:tcPr>
          <w:p w14:paraId="0A322434">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SPHC</w:t>
            </w:r>
          </w:p>
        </w:tc>
        <w:tc>
          <w:tcPr>
            <w:tcW w:w="0" w:type="auto"/>
            <w:shd w:val="clear" w:color="auto" w:fill="FFFFFF"/>
            <w:vAlign w:val="center"/>
          </w:tcPr>
          <w:p w14:paraId="09579444">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Industry Avg</w:t>
            </w:r>
          </w:p>
        </w:tc>
        <w:tc>
          <w:tcPr>
            <w:tcW w:w="0" w:type="auto"/>
            <w:shd w:val="clear" w:color="auto" w:fill="FFFFFF"/>
            <w:vAlign w:val="center"/>
          </w:tcPr>
          <w:p w14:paraId="0F875CAA">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Observation</w:t>
            </w:r>
          </w:p>
        </w:tc>
      </w:tr>
      <w:tr w14:paraId="7B4AC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shd w:val="clear" w:color="auto" w:fill="FFFFFF"/>
            <w:vAlign w:val="center"/>
          </w:tcPr>
          <w:p w14:paraId="5034E0F8">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Retail same-store sales growth</w:t>
            </w:r>
          </w:p>
        </w:tc>
        <w:tc>
          <w:tcPr>
            <w:tcW w:w="0" w:type="auto"/>
            <w:shd w:val="clear" w:color="auto" w:fill="FFFFFF"/>
            <w:vAlign w:val="center"/>
          </w:tcPr>
          <w:p w14:paraId="3CB0B9DF">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4%</w:t>
            </w:r>
          </w:p>
        </w:tc>
        <w:tc>
          <w:tcPr>
            <w:tcW w:w="0" w:type="auto"/>
            <w:shd w:val="clear" w:color="auto" w:fill="FFFFFF"/>
            <w:vAlign w:val="center"/>
          </w:tcPr>
          <w:p w14:paraId="613AE0F5">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3%</w:t>
            </w:r>
          </w:p>
        </w:tc>
        <w:tc>
          <w:tcPr>
            <w:tcW w:w="0" w:type="auto"/>
            <w:shd w:val="clear" w:color="auto" w:fill="FFFFFF"/>
            <w:vAlign w:val="center"/>
          </w:tcPr>
          <w:p w14:paraId="3F0DDF5D">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Slightly ahead of peers</w:t>
            </w:r>
          </w:p>
        </w:tc>
      </w:tr>
      <w:tr w14:paraId="1CF571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shd w:val="clear" w:color="auto" w:fill="FFFFFF"/>
            <w:vAlign w:val="center"/>
          </w:tcPr>
          <w:p w14:paraId="7CDF000A">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Distribution inventory turnover</w:t>
            </w:r>
          </w:p>
        </w:tc>
        <w:tc>
          <w:tcPr>
            <w:tcW w:w="0" w:type="auto"/>
            <w:shd w:val="clear" w:color="auto" w:fill="FFFFFF"/>
            <w:vAlign w:val="center"/>
          </w:tcPr>
          <w:p w14:paraId="79286B24">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12×</w:t>
            </w:r>
          </w:p>
        </w:tc>
        <w:tc>
          <w:tcPr>
            <w:tcW w:w="0" w:type="auto"/>
            <w:shd w:val="clear" w:color="auto" w:fill="FFFFFF"/>
            <w:vAlign w:val="center"/>
          </w:tcPr>
          <w:p w14:paraId="34BC0CC3">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10×</w:t>
            </w:r>
          </w:p>
        </w:tc>
        <w:tc>
          <w:tcPr>
            <w:tcW w:w="0" w:type="auto"/>
            <w:shd w:val="clear" w:color="auto" w:fill="FFFFFF"/>
            <w:vAlign w:val="center"/>
          </w:tcPr>
          <w:p w14:paraId="23F965E3">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More efficient distribution cycle</w:t>
            </w:r>
          </w:p>
        </w:tc>
      </w:tr>
      <w:tr w14:paraId="5F62F6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shd w:val="clear" w:color="auto" w:fill="FFFFFF"/>
            <w:vAlign w:val="center"/>
          </w:tcPr>
          <w:p w14:paraId="603DA6D6">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Biotech pipeline approvals</w:t>
            </w:r>
          </w:p>
        </w:tc>
        <w:tc>
          <w:tcPr>
            <w:tcW w:w="0" w:type="auto"/>
            <w:shd w:val="clear" w:color="auto" w:fill="FFFFFF"/>
            <w:vAlign w:val="center"/>
          </w:tcPr>
          <w:p w14:paraId="6998E362">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2</w:t>
            </w:r>
          </w:p>
        </w:tc>
        <w:tc>
          <w:tcPr>
            <w:tcW w:w="0" w:type="auto"/>
            <w:shd w:val="clear" w:color="auto" w:fill="FFFFFF"/>
            <w:vAlign w:val="center"/>
          </w:tcPr>
          <w:p w14:paraId="3EACC762">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1</w:t>
            </w:r>
          </w:p>
        </w:tc>
        <w:tc>
          <w:tcPr>
            <w:tcW w:w="0" w:type="auto"/>
            <w:shd w:val="clear" w:color="auto" w:fill="FFFFFF"/>
            <w:vAlign w:val="center"/>
          </w:tcPr>
          <w:p w14:paraId="4D951186">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Above-average R&amp;D success</w:t>
            </w:r>
          </w:p>
        </w:tc>
      </w:tr>
    </w:tbl>
    <w:p w14:paraId="2C54FB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sz w:val="24"/>
          <w:szCs w:val="24"/>
        </w:rPr>
        <w:pict>
          <v:rect id="_x0000_i1121" o:spt="1" style="height:1.5pt;width:432pt;" fillcolor="#000000" filled="t" stroked="f" coordsize="21600,21600" o:hr="t" o:hrstd="t" o:hrnoshade="t" o:hralign="center">
            <v:path/>
            <v:fill on="t" focussize="0,0"/>
            <v:stroke on="f"/>
            <v:imagedata o:title=""/>
            <o:lock v:ext="edit"/>
            <w10:wrap type="none"/>
            <w10:anchorlock/>
          </v:rect>
        </w:pict>
      </w:r>
    </w:p>
    <w:p w14:paraId="29CE9E9A">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Big Trends and Events</w:t>
      </w:r>
    </w:p>
    <w:p w14:paraId="6BD06BD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Price Reform Policies:</w:t>
      </w:r>
      <w:r>
        <w:rPr>
          <w:rFonts w:hint="default" w:ascii="Segoe UI" w:hAnsi="Segoe UI" w:eastAsia="Segoe UI" w:cs="Segoe UI"/>
          <w:i w:val="0"/>
          <w:iCs w:val="0"/>
          <w:caps w:val="0"/>
          <w:color w:val="000000"/>
          <w:spacing w:val="0"/>
          <w:sz w:val="16"/>
          <w:szCs w:val="16"/>
          <w:bdr w:val="none" w:color="auto" w:sz="0" w:space="0"/>
          <w:shd w:val="clear" w:fill="FFFFFF"/>
        </w:rPr>
        <w:t> Continued government price caps pressure generics margins; SPHC’s diversified portfolio mitigates impact.</w:t>
      </w:r>
    </w:p>
    <w:p w14:paraId="0B62285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Biologics Growth:</w:t>
      </w:r>
      <w:r>
        <w:rPr>
          <w:rFonts w:hint="default" w:ascii="Segoe UI" w:hAnsi="Segoe UI" w:eastAsia="Segoe UI" w:cs="Segoe UI"/>
          <w:i w:val="0"/>
          <w:iCs w:val="0"/>
          <w:caps w:val="0"/>
          <w:color w:val="000000"/>
          <w:spacing w:val="0"/>
          <w:sz w:val="16"/>
          <w:szCs w:val="16"/>
          <w:bdr w:val="none" w:color="auto" w:sz="0" w:space="0"/>
          <w:shd w:val="clear" w:fill="FFFFFF"/>
        </w:rPr>
        <w:t> Rising demand for innovative biologics; SPHC’s partnerships accelerate biosimilar launches.</w:t>
      </w:r>
    </w:p>
    <w:p w14:paraId="31233F0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Consolidation in Retail:</w:t>
      </w:r>
      <w:r>
        <w:rPr>
          <w:rFonts w:hint="default" w:ascii="Segoe UI" w:hAnsi="Segoe UI" w:eastAsia="Segoe UI" w:cs="Segoe UI"/>
          <w:i w:val="0"/>
          <w:iCs w:val="0"/>
          <w:caps w:val="0"/>
          <w:color w:val="000000"/>
          <w:spacing w:val="0"/>
          <w:sz w:val="16"/>
          <w:szCs w:val="16"/>
          <w:bdr w:val="none" w:color="auto" w:sz="0" w:space="0"/>
          <w:shd w:val="clear" w:fill="FFFFFF"/>
        </w:rPr>
        <w:t> M&amp;A in pharmacy chains intensifies competition; SPHC leverages scale for cost advantages.</w:t>
      </w:r>
    </w:p>
    <w:p w14:paraId="59AE66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22" o:spt="1" style="height:1.5pt;width:432pt;" fillcolor="#000000" filled="t" stroked="f" coordsize="21600,21600" o:hr="t" o:hrstd="t" o:hrnoshade="t" o:hralign="center">
            <v:path/>
            <v:fill on="t" focussize="0,0"/>
            <v:stroke on="f"/>
            <v:imagedata o:title=""/>
            <o:lock v:ext="edit"/>
            <w10:wrap type="none"/>
            <w10:anchorlock/>
          </v:rect>
        </w:pict>
      </w:r>
    </w:p>
    <w:p w14:paraId="01993DFD">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Customer Segments and Demand Trends</w:t>
      </w:r>
    </w:p>
    <w:p w14:paraId="597A9034">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Top Segments:</w:t>
      </w:r>
    </w:p>
    <w:p w14:paraId="50E0167E">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Hospitals &amp; Clinics: RMB 190 billion (70%)</w:t>
      </w:r>
    </w:p>
    <w:p w14:paraId="75E4EB04">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Retail Pharmacies: RMB 67.5 billion (25%)</w:t>
      </w:r>
    </w:p>
    <w:p w14:paraId="0F616FD8">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Others (e-commerce, export): RMB 12.5 billion (5%)</w:t>
      </w:r>
    </w:p>
    <w:p w14:paraId="4FAD9E3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Forecast:</w:t>
      </w:r>
      <w:r>
        <w:rPr>
          <w:rFonts w:hint="default" w:ascii="Segoe UI" w:hAnsi="Segoe UI" w:eastAsia="Segoe UI" w:cs="Segoe UI"/>
          <w:i w:val="0"/>
          <w:iCs w:val="0"/>
          <w:caps w:val="0"/>
          <w:color w:val="000000"/>
          <w:spacing w:val="0"/>
          <w:sz w:val="16"/>
          <w:szCs w:val="16"/>
          <w:bdr w:val="none" w:color="auto" w:sz="0" w:space="0"/>
          <w:shd w:val="clear" w:fill="FFFFFF"/>
        </w:rPr>
        <w:t> Hospital distribution +5% CAGR; retail +7% driven by digital integration.</w:t>
      </w:r>
    </w:p>
    <w:p w14:paraId="7FE6D93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Criticisms/Substitutes:</w:t>
      </w:r>
      <w:r>
        <w:rPr>
          <w:rFonts w:hint="default" w:ascii="Segoe UI" w:hAnsi="Segoe UI" w:eastAsia="Segoe UI" w:cs="Segoe UI"/>
          <w:i w:val="0"/>
          <w:iCs w:val="0"/>
          <w:caps w:val="0"/>
          <w:color w:val="000000"/>
          <w:spacing w:val="0"/>
          <w:sz w:val="16"/>
          <w:szCs w:val="16"/>
          <w:bdr w:val="none" w:color="auto" w:sz="0" w:space="0"/>
          <w:shd w:val="clear" w:fill="FFFFFF"/>
        </w:rPr>
        <w:t> Digital pharmacy platforms offer lower prices; SPHC invests in e-commerce partnerships to retain share.</w:t>
      </w:r>
    </w:p>
    <w:p w14:paraId="420633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23" o:spt="1" style="height:1.5pt;width:432pt;" fillcolor="#000000" filled="t" stroked="f" coordsize="21600,21600" o:hr="t" o:hrstd="t" o:hrnoshade="t" o:hralign="center">
            <v:path/>
            <v:fill on="t" focussize="0,0"/>
            <v:stroke on="f"/>
            <v:imagedata o:title=""/>
            <o:lock v:ext="edit"/>
            <w10:wrap type="none"/>
            <w10:anchorlock/>
          </v:rect>
        </w:pict>
      </w:r>
    </w:p>
    <w:p w14:paraId="2F4B4585">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Competitive Landscape</w:t>
      </w:r>
    </w:p>
    <w:p w14:paraId="0B6AB04C">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Industry Dynamics:</w:t>
      </w:r>
      <w:r>
        <w:rPr>
          <w:rFonts w:hint="default" w:ascii="Segoe UI" w:hAnsi="Segoe UI" w:eastAsia="Segoe UI" w:cs="Segoe UI"/>
          <w:i w:val="0"/>
          <w:iCs w:val="0"/>
          <w:caps w:val="0"/>
          <w:color w:val="000000"/>
          <w:spacing w:val="0"/>
          <w:sz w:val="16"/>
          <w:szCs w:val="16"/>
          <w:bdr w:val="none" w:color="auto" w:sz="0" w:space="0"/>
          <w:shd w:val="clear" w:fill="FFFFFF"/>
        </w:rPr>
        <w:t> Highly fragmented; CR4 ~45% in distribution, margins under 5%.</w:t>
      </w:r>
    </w:p>
    <w:p w14:paraId="5E83DB4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Key Competitors:</w:t>
      </w:r>
    </w:p>
    <w:p w14:paraId="21F671EA">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Sinopharm Distribution (25% share, 4% margin)</w:t>
      </w:r>
    </w:p>
    <w:p w14:paraId="6CC8687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CR Pharma (10% share, 3.5% margin)</w:t>
      </w:r>
    </w:p>
    <w:p w14:paraId="6734C28A">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China Resources Healthcare retail (6% share, 9% margin)</w:t>
      </w:r>
    </w:p>
    <w:p w14:paraId="64F7BF38">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Moats:</w:t>
      </w:r>
      <w:r>
        <w:rPr>
          <w:rFonts w:hint="default" w:ascii="Segoe UI" w:hAnsi="Segoe UI" w:eastAsia="Segoe UI" w:cs="Segoe UI"/>
          <w:i w:val="0"/>
          <w:iCs w:val="0"/>
          <w:caps w:val="0"/>
          <w:color w:val="000000"/>
          <w:spacing w:val="0"/>
          <w:sz w:val="16"/>
          <w:szCs w:val="16"/>
          <w:bdr w:val="none" w:color="auto" w:sz="0" w:space="0"/>
          <w:shd w:val="clear" w:fill="FFFFFF"/>
        </w:rPr>
        <w:t> Distribution scale, exclusive supply agreements, integrated retail network; SPHC leads on scale but digital integration remains a gap.</w:t>
      </w:r>
    </w:p>
    <w:p w14:paraId="429FFE8D">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Key Battlefront:</w:t>
      </w:r>
      <w:r>
        <w:rPr>
          <w:rFonts w:hint="default" w:ascii="Segoe UI" w:hAnsi="Segoe UI" w:eastAsia="Segoe UI" w:cs="Segoe UI"/>
          <w:i w:val="0"/>
          <w:iCs w:val="0"/>
          <w:caps w:val="0"/>
          <w:color w:val="000000"/>
          <w:spacing w:val="0"/>
          <w:sz w:val="16"/>
          <w:szCs w:val="16"/>
          <w:bdr w:val="none" w:color="auto" w:sz="0" w:space="0"/>
          <w:shd w:val="clear" w:fill="FFFFFF"/>
        </w:rPr>
        <w:t> </w:t>
      </w:r>
      <w:r>
        <w:rPr>
          <w:rStyle w:val="10"/>
          <w:rFonts w:hint="default" w:ascii="Segoe UI" w:hAnsi="Segoe UI" w:eastAsia="Segoe UI" w:cs="Segoe UI"/>
          <w:i w:val="0"/>
          <w:iCs w:val="0"/>
          <w:caps w:val="0"/>
          <w:color w:val="000000"/>
          <w:spacing w:val="0"/>
          <w:sz w:val="16"/>
          <w:szCs w:val="16"/>
          <w:bdr w:val="none" w:color="auto" w:sz="0" w:space="0"/>
          <w:shd w:val="clear" w:fill="FFFFFF"/>
        </w:rPr>
        <w:t>Digital transformation</w:t>
      </w:r>
      <w:r>
        <w:rPr>
          <w:rFonts w:hint="default" w:ascii="Segoe UI" w:hAnsi="Segoe UI" w:eastAsia="Segoe UI" w:cs="Segoe UI"/>
          <w:i w:val="0"/>
          <w:iCs w:val="0"/>
          <w:caps w:val="0"/>
          <w:color w:val="000000"/>
          <w:spacing w:val="0"/>
          <w:sz w:val="16"/>
          <w:szCs w:val="16"/>
          <w:bdr w:val="none" w:color="auto" w:sz="0" w:space="0"/>
          <w:shd w:val="clear" w:fill="FFFFFF"/>
        </w:rPr>
        <w:t>—SPHC’s investments lag relative to pure-play e-pharmacies.</w:t>
      </w:r>
    </w:p>
    <w:p w14:paraId="05A110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24" o:spt="1" style="height:1.5pt;width:432pt;" fillcolor="#000000" filled="t" stroked="f" coordsize="21600,21600" o:hr="t" o:hrstd="t" o:hrnoshade="t" o:hralign="center">
            <v:path/>
            <v:fill on="t" focussize="0,0"/>
            <v:stroke on="f"/>
            <v:imagedata o:title=""/>
            <o:lock v:ext="edit"/>
            <w10:wrap type="none"/>
            <w10:anchorlock/>
          </v:rect>
        </w:pict>
      </w:r>
    </w:p>
    <w:p w14:paraId="560C24A0">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Risks and Anomalies</w:t>
      </w:r>
    </w:p>
    <w:p w14:paraId="23684CCF">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Slower gross margin recovery due to price controls</w:t>
      </w:r>
    </w:p>
    <w:p w14:paraId="3F8C839C">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Biopharma segment still loss-making with high R&amp;D burn</w:t>
      </w:r>
    </w:p>
    <w:p w14:paraId="5D0335D8">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Potential regulatory changes in drug procurement</w:t>
      </w:r>
    </w:p>
    <w:p w14:paraId="2F497E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25" o:spt="1" style="height:1.5pt;width:432pt;" fillcolor="#000000" filled="t" stroked="f" coordsize="21600,21600" o:hr="t" o:hrstd="t" o:hrnoshade="t" o:hralign="center">
            <v:path/>
            <v:fill on="t" focussize="0,0"/>
            <v:stroke on="f"/>
            <v:imagedata o:title=""/>
            <o:lock v:ext="edit"/>
            <w10:wrap type="none"/>
            <w10:anchorlock/>
          </v:rect>
        </w:pict>
      </w:r>
    </w:p>
    <w:p w14:paraId="5771122F">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Forecast and Outlook</w:t>
      </w:r>
    </w:p>
    <w:p w14:paraId="047C4FA6">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2025 Guidance:</w:t>
      </w:r>
      <w:r>
        <w:rPr>
          <w:rFonts w:hint="default" w:ascii="Segoe UI" w:hAnsi="Segoe UI" w:eastAsia="Segoe UI" w:cs="Segoe UI"/>
          <w:i w:val="0"/>
          <w:iCs w:val="0"/>
          <w:caps w:val="0"/>
          <w:color w:val="000000"/>
          <w:spacing w:val="0"/>
          <w:sz w:val="16"/>
          <w:szCs w:val="16"/>
          <w:bdr w:val="none" w:color="auto" w:sz="0" w:space="0"/>
          <w:shd w:val="clear" w:fill="FFFFFF"/>
        </w:rPr>
        <w:t> +6% revenue growth; +8% EPS growth</w:t>
      </w:r>
    </w:p>
    <w:p w14:paraId="4ACB6B9A">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Drivers:</w:t>
      </w:r>
      <w:r>
        <w:rPr>
          <w:rFonts w:hint="default" w:ascii="Segoe UI" w:hAnsi="Segoe UI" w:eastAsia="Segoe UI" w:cs="Segoe UI"/>
          <w:i w:val="0"/>
          <w:iCs w:val="0"/>
          <w:caps w:val="0"/>
          <w:color w:val="000000"/>
          <w:spacing w:val="0"/>
          <w:sz w:val="16"/>
          <w:szCs w:val="16"/>
          <w:bdr w:val="none" w:color="auto" w:sz="0" w:space="0"/>
          <w:shd w:val="clear" w:fill="FFFFFF"/>
        </w:rPr>
        <w:t> Biologics launches, retail network expansion, cost synergies from recent acquisitions</w:t>
      </w:r>
    </w:p>
    <w:p w14:paraId="333F29C2">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Earnings Surprise:</w:t>
      </w:r>
      <w:r>
        <w:rPr>
          <w:rFonts w:hint="default" w:ascii="Segoe UI" w:hAnsi="Segoe UI" w:eastAsia="Segoe UI" w:cs="Segoe UI"/>
          <w:i w:val="0"/>
          <w:iCs w:val="0"/>
          <w:caps w:val="0"/>
          <w:color w:val="000000"/>
          <w:spacing w:val="0"/>
          <w:sz w:val="16"/>
          <w:szCs w:val="16"/>
          <w:bdr w:val="none" w:color="auto" w:sz="0" w:space="0"/>
          <w:shd w:val="clear" w:fill="FFFFFF"/>
        </w:rPr>
        <w:t> Q2 2025 beat consensus by 5% on stronger retail same-store sales.</w:t>
      </w:r>
    </w:p>
    <w:p w14:paraId="1FB101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26" o:spt="1" style="height:1.5pt;width:432pt;" fillcolor="#000000" filled="t" stroked="f" coordsize="21600,21600" o:hr="t" o:hrstd="t" o:hrnoshade="t" o:hralign="center">
            <v:path/>
            <v:fill on="t" focussize="0,0"/>
            <v:stroke on="f"/>
            <v:imagedata o:title=""/>
            <o:lock v:ext="edit"/>
            <w10:wrap type="none"/>
            <w10:anchorlock/>
          </v:rect>
        </w:pict>
      </w:r>
    </w:p>
    <w:p w14:paraId="35290B7C">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Leading Investment Firms’ Views</w:t>
      </w:r>
    </w:p>
    <w:p w14:paraId="0FBE8D17">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Goldman Sachs:</w:t>
      </w:r>
      <w:r>
        <w:rPr>
          <w:rFonts w:hint="default" w:ascii="Segoe UI" w:hAnsi="Segoe UI" w:eastAsia="Segoe UI" w:cs="Segoe UI"/>
          <w:i w:val="0"/>
          <w:iCs w:val="0"/>
          <w:caps w:val="0"/>
          <w:color w:val="000000"/>
          <w:spacing w:val="0"/>
          <w:sz w:val="16"/>
          <w:szCs w:val="16"/>
          <w:bdr w:val="none" w:color="auto" w:sz="0" w:space="0"/>
          <w:shd w:val="clear" w:fill="FFFFFF"/>
        </w:rPr>
        <w:t> Buy, TP RMB 36 (+15%)</w:t>
      </w:r>
    </w:p>
    <w:p w14:paraId="12EDC1B3">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Piper Sandler:</w:t>
      </w:r>
      <w:r>
        <w:rPr>
          <w:rFonts w:hint="default" w:ascii="Segoe UI" w:hAnsi="Segoe UI" w:eastAsia="Segoe UI" w:cs="Segoe UI"/>
          <w:i w:val="0"/>
          <w:iCs w:val="0"/>
          <w:caps w:val="0"/>
          <w:color w:val="000000"/>
          <w:spacing w:val="0"/>
          <w:sz w:val="16"/>
          <w:szCs w:val="16"/>
          <w:bdr w:val="none" w:color="auto" w:sz="0" w:space="0"/>
          <w:shd w:val="clear" w:fill="FFFFFF"/>
        </w:rPr>
        <w:t> Hold, TP RMB 30 (+5%)</w:t>
      </w:r>
    </w:p>
    <w:p w14:paraId="43816DEB">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Consensus:</w:t>
      </w:r>
      <w:r>
        <w:rPr>
          <w:rFonts w:hint="default" w:ascii="Segoe UI" w:hAnsi="Segoe UI" w:eastAsia="Segoe UI" w:cs="Segoe UI"/>
          <w:i w:val="0"/>
          <w:iCs w:val="0"/>
          <w:caps w:val="0"/>
          <w:color w:val="000000"/>
          <w:spacing w:val="0"/>
          <w:sz w:val="16"/>
          <w:szCs w:val="16"/>
          <w:bdr w:val="none" w:color="auto" w:sz="0" w:space="0"/>
          <w:shd w:val="clear" w:fill="FFFFFF"/>
        </w:rPr>
        <w:t> Hold; Avg TP RMB 33 (+10%)</w:t>
      </w:r>
    </w:p>
    <w:p w14:paraId="44690F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27" o:spt="1" style="height:1.5pt;width:432pt;" fillcolor="#000000" filled="t" stroked="f" coordsize="21600,21600" o:hr="t" o:hrstd="t" o:hrnoshade="t" o:hralign="center">
            <v:path/>
            <v:fill on="t" focussize="0,0"/>
            <v:stroke on="f"/>
            <v:imagedata o:title=""/>
            <o:lock v:ext="edit"/>
            <w10:wrap type="none"/>
            <w10:anchorlock/>
          </v:rect>
        </w:pict>
      </w:r>
    </w:p>
    <w:p w14:paraId="0981F292">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Recommendation: Hold</w:t>
      </w:r>
    </w:p>
    <w:p w14:paraId="23A1AB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Pros</w:t>
      </w:r>
    </w:p>
    <w:p w14:paraId="4220BF84">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Market leadership in distribution and retail</w:t>
      </w:r>
    </w:p>
    <w:p w14:paraId="7CB540C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Strong cash flow and manageable debt</w:t>
      </w:r>
    </w:p>
    <w:p w14:paraId="60FBFB91">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Growth catalysts in biologics and digital expansion</w:t>
      </w:r>
    </w:p>
    <w:p w14:paraId="450B25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Cons</w:t>
      </w:r>
    </w:p>
    <w:p w14:paraId="171DAAFB">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Margin pressure from government price reforms</w:t>
      </w:r>
    </w:p>
    <w:p w14:paraId="33F71851">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Competitive digital pharmacy landscape</w:t>
      </w:r>
    </w:p>
    <w:p w14:paraId="2D0831D0">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R&amp;D losses in biopharma weighing on profitability</w:t>
      </w:r>
    </w:p>
    <w:p w14:paraId="1CBB97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28" o:spt="1" style="height:1.5pt;width:432pt;" fillcolor="#000000" filled="t" stroked="f" coordsize="21600,21600" o:hr="t" o:hrstd="t" o:hrnoshade="t" o:hralign="center">
            <v:path/>
            <v:fill on="t" focussize="0,0"/>
            <v:stroke on="f"/>
            <v:imagedata o:title=""/>
            <o:lock v:ext="edit"/>
            <w10:wrap type="none"/>
            <w10:anchorlock/>
          </v:rect>
        </w:pict>
      </w:r>
    </w:p>
    <w:p w14:paraId="03B933FB">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Takeaways</w:t>
      </w:r>
    </w:p>
    <w:p w14:paraId="7A56B26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Shanghai Pharmaceuticals’ diversified platform and leading distribution network underpin stable cash flows and moderate growth. However, persistent price controls, competitive digital entrants, and early-stage biopharma losses temper upside, justifying a Hold stance while monitoring digital integration progress and biosimilar pipeline developments for future re-rating.</w:t>
      </w:r>
    </w:p>
    <w:p w14:paraId="6ACE0D2B">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0CF66">
    <w:pPr>
      <w:pStyle w:val="6"/>
      <w:rPr>
        <w:rFonts w:hint="eastAsia"/>
        <w:lang w:val="en-US" w:eastAsia="zh-CN"/>
      </w:rPr>
    </w:pPr>
    <w:r>
      <w:rPr>
        <w:rFonts w:hint="eastAsia"/>
        <w:lang w:val="en-US" w:eastAsia="zh-CN"/>
      </w:rPr>
      <w:t>Jessica Zheng</w:t>
    </w:r>
  </w:p>
  <w:p w14:paraId="12572531">
    <w:pPr>
      <w:pStyle w:val="6"/>
      <w:rPr>
        <w:rFonts w:hint="eastAsia"/>
        <w:lang w:val="en-US" w:eastAsia="zh-CN"/>
      </w:rPr>
    </w:pPr>
    <w:r>
      <w:rPr>
        <w:rFonts w:hint="eastAsia"/>
        <w:lang w:val="en-US" w:eastAsia="zh-CN"/>
      </w:rPr>
      <w:t>5 September 2025</w:t>
    </w:r>
  </w:p>
  <w:p w14:paraId="0F63B9A0">
    <w:pPr>
      <w:pStyle w:val="6"/>
      <w:rPr>
        <w:rFonts w:hint="default"/>
        <w:lang w:val="en-US" w:eastAsia="zh-CN"/>
      </w:rPr>
    </w:pPr>
    <w:r>
      <w:rPr>
        <w:rFonts w:hint="eastAsia"/>
        <w:lang w:val="en-US" w:eastAsia="zh-CN"/>
      </w:rPr>
      <w:t>Using Perplexity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7D8B69"/>
    <w:multiLevelType w:val="multilevel"/>
    <w:tmpl w:val="9A7D8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0932FA"/>
    <w:multiLevelType w:val="multilevel"/>
    <w:tmpl w:val="A10932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11484E8"/>
    <w:multiLevelType w:val="multilevel"/>
    <w:tmpl w:val="B11484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5BEA07C"/>
    <w:multiLevelType w:val="multilevel"/>
    <w:tmpl w:val="C5BEA0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A2B876"/>
    <w:multiLevelType w:val="multilevel"/>
    <w:tmpl w:val="DAA2B8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9A50DEE"/>
    <w:multiLevelType w:val="multilevel"/>
    <w:tmpl w:val="19A50D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8612024"/>
    <w:multiLevelType w:val="multilevel"/>
    <w:tmpl w:val="386120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173645E"/>
    <w:multiLevelType w:val="multilevel"/>
    <w:tmpl w:val="41736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A3D7B74"/>
    <w:multiLevelType w:val="multilevel"/>
    <w:tmpl w:val="4A3D7B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0252130"/>
    <w:multiLevelType w:val="multilevel"/>
    <w:tmpl w:val="702521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0DBA871"/>
    <w:multiLevelType w:val="multilevel"/>
    <w:tmpl w:val="70DBA8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
  </w:num>
  <w:num w:numId="3">
    <w:abstractNumId w:val="9"/>
  </w:num>
  <w:num w:numId="4">
    <w:abstractNumId w:val="6"/>
  </w:num>
  <w:num w:numId="5">
    <w:abstractNumId w:val="5"/>
  </w:num>
  <w:num w:numId="6">
    <w:abstractNumId w:val="8"/>
  </w:num>
  <w:num w:numId="7">
    <w:abstractNumId w:val="2"/>
  </w:num>
  <w:num w:numId="8">
    <w:abstractNumId w:val="3"/>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A5694"/>
    <w:rsid w:val="216E75E5"/>
    <w:rsid w:val="25BA5694"/>
    <w:rsid w:val="35176328"/>
    <w:rsid w:val="55126C9E"/>
    <w:rsid w:val="56B72852"/>
    <w:rsid w:val="5DE27D97"/>
    <w:rsid w:val="5EE1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2025-09-05T06:27:00Z</dcterms:created>
  <dc:creator>Jessica</dc:creator>
  <cp:lastModifiedBy>Jessica</cp:lastModifiedBy>
  <dcterms:modified xsi:type="dcterms:W3CDTF">2025-09-05T06:44:18Z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C502F6659B774D9CBA0F739CE7289BED_13</vt:lpwstr>
  </property>
  <property fmtid="{D5CDD505-2E9C-101B-9397-08002B2CF9AE}" pid="4" name="KSOTemplateDocerSaveRecord">
    <vt:lpwstr>eyJoZGlkIjoiYTQxOThlMTQ3ZDBkODcyMDkzOGU3NGUyNWU5NTI2YWQiLCJ1c2VySWQiOiI1ODkwNTQ4NTQifQ==</vt:lpwstr>
  </property>
</Properties>
</file>