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72C73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r>
        <w:rPr>
          <w:rFonts w:hint="eastAsia" w:ascii="Segoe UI" w:hAnsi="Segoe UI" w:cs="Segoe UI"/>
          <w:b w:val="0"/>
          <w:bCs w:val="0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 xml:space="preserve">IS - A1 Body -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C3E50"/>
          <w:spacing w:val="0"/>
          <w:sz w:val="22"/>
          <w:szCs w:val="22"/>
          <w:shd w:val="clear" w:fill="FFFFFF"/>
        </w:rPr>
        <w:t>Shenzhen Mindray Bio-Medical Electronics Co Ltd</w:t>
      </w:r>
      <w:r>
        <w:rPr>
          <w:rFonts w:hint="eastAsia" w:ascii="Segoe UI" w:hAnsi="Segoe UI" w:cs="Segoe UI"/>
          <w:b w:val="0"/>
          <w:bCs w:val="0"/>
          <w:i w:val="0"/>
          <w:iCs w:val="0"/>
          <w:caps w:val="0"/>
          <w:color w:val="2C3E50"/>
          <w:spacing w:val="0"/>
          <w:sz w:val="22"/>
          <w:szCs w:val="22"/>
          <w:shd w:val="clear" w:fill="FFFFFF"/>
          <w:lang w:val="en-US" w:eastAsia="zh-CN"/>
        </w:rPr>
        <w:t xml:space="preserve"> - 300760.SZ</w:t>
      </w:r>
    </w:p>
    <w:bookmarkEnd w:id="0"/>
    <w:p w14:paraId="4F15BE9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2C3E50"/>
          <w:spacing w:val="0"/>
          <w:sz w:val="40"/>
          <w:szCs w:val="4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z w:val="40"/>
          <w:szCs w:val="40"/>
          <w:shd w:val="clear" w:fill="FFFFFF"/>
        </w:rPr>
        <w:t>Investment Summary – Shenzhen Mindray Bio-Medical Electronics Co Ltd</w:t>
      </w:r>
    </w:p>
    <w:p w14:paraId="4A00EC7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Date: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September 5, 2025 -  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Ticker: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300760.SZ -  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Previous Close: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¥233.50 -  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Cap: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¥293.6 B -  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Recommendation: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Buy[1][2]</w:t>
      </w:r>
    </w:p>
    <w:p w14:paraId="32A616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Advanced Medical Equipment &amp; Technology</w:t>
      </w:r>
    </w:p>
    <w:p w14:paraId="370617FB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Business Overview</w:t>
      </w:r>
    </w:p>
    <w:p w14:paraId="23CB3F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Shenzhen Mindray is a leading global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medical devices and solutions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provider, organized into three divisions:</w:t>
      </w:r>
    </w:p>
    <w:p w14:paraId="46CB086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Patient Monitoring &amp; Life Support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(~45% of sales; GPM 65%): ECGs, ventilators, infusion pumps serving hospitals’ critical care and peri-operative teams;</w:t>
      </w:r>
    </w:p>
    <w:p w14:paraId="36AB272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 Vitro Diagnostics (IVD)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(~35% of sales; GPM 60%): hematology, chemistry, immunoassay analyzers and reagents for clinical labs;</w:t>
      </w:r>
    </w:p>
    <w:p w14:paraId="087ADC3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Medical Imaging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(~20% of sales; GPM 58%): ultrasound and radiology systems for diagnostic departments.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FY 2024 revenue was RMB 36.73 B (+5.1% YoY); operating income RMB 13.11 B (35.7% margin). Products enable continuous patient monitoring in ICU, rapid lab testing for disease management, and non-invasive imaging for diagnostics. Strengths include advanced R&amp;D, integrated portfolio, strong brand in emerging markets; challenges stem from pricing pressure on reagents and US-China trade frictions.[3][4]</w:t>
      </w:r>
    </w:p>
    <w:p w14:paraId="101A7E19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Business Performance</w:t>
      </w:r>
    </w:p>
    <w:p w14:paraId="3883942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Sales Growth (2020–2024):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CAGR 15.2%; consensus 2025E +7.7% to RMB 39.56 B.[3]</w:t>
      </w:r>
    </w:p>
    <w:p w14:paraId="320C516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Profit Growth (2020–2024):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CAGR 19.1%; consensus 2025E +6.7% to RMB 12.46 B.[3]</w:t>
      </w:r>
    </w:p>
    <w:p w14:paraId="4D5F10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Operating Cash Flow: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+12% CAGR (2020–24); strong free cash conversion.</w:t>
      </w:r>
    </w:p>
    <w:p w14:paraId="0E5C55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Share: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Top-2 in China for patient monitoring and IVD; global share ~10% in ultrasound.</w:t>
      </w:r>
    </w:p>
    <w:p w14:paraId="0A9C196C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Industry Context</w:t>
      </w:r>
    </w:p>
    <w:p w14:paraId="49CEC25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Product Cycle: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Mature for monitoring systems; growth in high-end IVD reagents still emerging.</w:t>
      </w:r>
    </w:p>
    <w:p w14:paraId="3220829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Market Size &amp; CAGR: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Global med-tech ~USD 600 B, 6% CAGR; China market ~USD 80 B, 8% CAGR.</w:t>
      </w:r>
    </w:p>
    <w:p w14:paraId="5E0DA77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Mindray Ranking: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#3 globally in patient monitors; #4 in IVD.</w:t>
      </w:r>
    </w:p>
    <w:p w14:paraId="3122301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3-year Sales Growth vs. Industry: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Mindray +10% vs. med-tech average +7%.</w:t>
      </w:r>
    </w:p>
    <w:p w14:paraId="32023A2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3-year EPS Growth vs. Industry: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+12% vs. +9%.</w:t>
      </w:r>
    </w:p>
    <w:p w14:paraId="1499996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Debt/Total Assets: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18% vs. industry 20%.</w:t>
      </w:r>
    </w:p>
    <w:p w14:paraId="5203527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 Cycle: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Expansion phase driven by aging populations and digital health upgrades.</w:t>
      </w:r>
    </w:p>
    <w:p w14:paraId="781A865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 Metrics:</w:t>
      </w:r>
    </w:p>
    <w:p w14:paraId="21D5ED5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Global ultrasound install base: Mindray 8% vs. industry 10%;</w:t>
      </w:r>
    </w:p>
    <w:p w14:paraId="4D14FB2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IVD reagent ASP trend: Mindray −3% YoY vs. industry −1%;</w:t>
      </w:r>
    </w:p>
    <w:p w14:paraId="6EB8CE6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Patient monitor replacement rate: Mindray 15% vs. industry 12%.</w:t>
      </w:r>
    </w:p>
    <w:p w14:paraId="6A3A9309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Financial Stability &amp; Debt Levels</w:t>
      </w:r>
    </w:p>
    <w:p w14:paraId="1FFF23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Mindray maintains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strong liquidity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(current ratio 1.8×; cash ¥12 B), robust OCF covering 120% of capex. Total debt ¥14 B (D/E 0.3×); interest coverage 15×. Altman Z-Score 3.2 confirms low bankruptcy risk. No material liquidity concerns.</w:t>
      </w:r>
    </w:p>
    <w:p w14:paraId="469C52BE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Key Financials &amp; Valuation</w:t>
      </w:r>
    </w:p>
    <w:p w14:paraId="2A2769C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Sales (FY 2024):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RMB 36.73 B (+5.1% YoY); consensus FY 2025E +7.7%.[3]</w:t>
      </w:r>
    </w:p>
    <w:p w14:paraId="0EA7BB8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Operating Margin: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35.7% (steady vs. 35.6% in 2023).</w:t>
      </w:r>
    </w:p>
    <w:p w14:paraId="7D19ED8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P/E TTM: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26.6× vs. sector 24.5×; forward P/E 24.7×.[1]</w:t>
      </w:r>
    </w:p>
    <w:p w14:paraId="5AC538B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PEG: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1.65× vs. sector 2.3×.[2]</w:t>
      </w:r>
    </w:p>
    <w:p w14:paraId="1DD4740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Dividend Yield: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2.57% vs. peer average 1.48%.[5]</w:t>
      </w:r>
    </w:p>
    <w:p w14:paraId="542AC84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52-Week Range: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¥206.8–351.6.</w:t>
      </w:r>
    </w:p>
    <w:p w14:paraId="3A6A57E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Industry-Specific Metrics:</w:t>
      </w:r>
    </w:p>
    <w:p w14:paraId="39FFAE0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Ultrasound install share: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8% vs. 10% (below avg; growth opportunity).</w:t>
      </w:r>
    </w:p>
    <w:p w14:paraId="57FE973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IVD reagent ASP decline: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−3% vs. industry −1% (margin pressure).</w:t>
      </w:r>
    </w:p>
    <w:p w14:paraId="05B06B4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Patient monitor attach rate: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15% vs. industry 12% (outperform).</w:t>
      </w:r>
    </w:p>
    <w:p w14:paraId="4B225D3A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Big Trends &amp; Events</w:t>
      </w:r>
    </w:p>
    <w:p w14:paraId="576D016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Digital Health Adoption: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Boosts demand for integrated ICU solutions; Mindray’s IT platform gains traction.</w:t>
      </w:r>
    </w:p>
    <w:p w14:paraId="7270C76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Regulatory Harmonization: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CFDA &amp; CE clearance streamlines global launches; benefits Mindray’s medical imaging exports.</w:t>
      </w:r>
    </w:p>
    <w:p w14:paraId="6E3047C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Supply Chain Localization: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Reduces input cost volatility; ongoing pivot from US-sourced reagents.</w:t>
      </w:r>
    </w:p>
    <w:p w14:paraId="6C638D95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Customer Segments &amp; Demand Trends</w:t>
      </w:r>
    </w:p>
    <w:p w14:paraId="63210BC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Hospitals (70% of sales):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1st/2nd tier Chinese hospitals driving replacement; growth forecast +8% p.a.</w:t>
      </w:r>
    </w:p>
    <w:p w14:paraId="7847B2E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International (20%):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Emerging markets expansion; +12% CAGR next 3 years.</w:t>
      </w:r>
    </w:p>
    <w:p w14:paraId="30D9C11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Veterinary &amp; Other (10%):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Niche growth +5%.</w:t>
      </w:r>
    </w:p>
    <w:p w14:paraId="7520453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Criticisms: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Reagent price declines; switching to competitors’ high-end analyzers accelerating in top hospitals.</w:t>
      </w:r>
    </w:p>
    <w:p w14:paraId="429F442C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Competitive Landscape</w:t>
      </w:r>
    </w:p>
    <w:p w14:paraId="54AA5FA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Concentration (CR4):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~40% global; moderate fragmentation.</w:t>
      </w:r>
    </w:p>
    <w:p w14:paraId="48555D2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Key Competitors:</w:t>
      </w:r>
    </w:p>
    <w:p w14:paraId="6FDC8F5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GE Healthcare (20% global share; 40% margin);</w:t>
      </w:r>
    </w:p>
    <w:p w14:paraId="27343A4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Siemens Healthineers (18% share; 38% margin);</w:t>
      </w:r>
    </w:p>
    <w:p w14:paraId="361EFBF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Roche Diagnostics (15% share; 42% margin).</w:t>
      </w:r>
    </w:p>
    <w:p w14:paraId="7C987E5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Moat: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R&amp;D pipeline, bundled solutions, strong China distribution.</w:t>
      </w:r>
    </w:p>
    <w:p w14:paraId="69C5BEA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Top Battlefront: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High-end IVD reagents—Mindray lags global leaders but accelerating innovation.</w:t>
      </w:r>
    </w:p>
    <w:p w14:paraId="0DFF68CD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Risks &amp; Anomalies</w:t>
      </w:r>
    </w:p>
    <w:p w14:paraId="23D9B9B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H1 2025 net profit down 33% YoY due to reagent pricing and DRG policy drag.[6]</w:t>
      </w:r>
    </w:p>
    <w:p w14:paraId="1DA1BF0F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ASP erosion in IVD may persist into 2026 if DRG 2.0 implementation extends.</w:t>
      </w:r>
    </w:p>
    <w:p w14:paraId="41DE7755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Forecast &amp; Outlook</w:t>
      </w:r>
    </w:p>
    <w:p w14:paraId="0A4F283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Management Guidance FY 2025: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Revenue RMB 40.2 B (+9.4%), net profit RMB 12.4 B (+6.5%).[4]</w:t>
      </w:r>
    </w:p>
    <w:p w14:paraId="2271240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Key Drivers: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Domestic demand rebound, new 2.0 dye-based imaging launch, reagent mix improvement.</w:t>
      </w:r>
    </w:p>
    <w:p w14:paraId="55D2F84D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Leading Investment Firms &amp; Views</w:t>
      </w:r>
    </w:p>
    <w:p w14:paraId="2E7671DA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Goldman Sachs: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Buy; TP ¥320 (+37%) based on DCF; citing digital ICU growth.</w:t>
      </w:r>
    </w:p>
    <w:p w14:paraId="2288CA0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CMBI: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Outperform; TP ¥300 (+29%) highlighting reagent pipeline.[4]</w:t>
      </w:r>
    </w:p>
    <w:p w14:paraId="724D2BF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Consensus: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Buy; average TP ¥310 (+33%).</w:t>
      </w:r>
    </w:p>
    <w:p w14:paraId="74F96882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Recommendation: Buy</w:t>
      </w:r>
    </w:p>
    <w:p w14:paraId="210E556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Pros:</w:t>
      </w:r>
    </w:p>
    <w:p w14:paraId="333728F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Robust 2025 growth outlook and margin expansion potential.</w:t>
      </w:r>
    </w:p>
    <w:p w14:paraId="124D907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Strong balance sheet and cash-flow generation.</w:t>
      </w:r>
    </w:p>
    <w:p w14:paraId="3F9A8EE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Leading position and R&amp;D investment in high-growth segments.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Cons:</w:t>
      </w:r>
    </w:p>
    <w:p w14:paraId="6178BA7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Elevated valuation vs. sector.</w:t>
      </w:r>
    </w:p>
    <w:p w14:paraId="6647143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Short-term margin pressure from reagent ASP declines.</w:t>
      </w:r>
    </w:p>
    <w:p w14:paraId="6765E3AB">
      <w:pPr>
        <w:pStyle w:val="3"/>
        <w:keepNext w:val="0"/>
        <w:keepLines w:val="0"/>
        <w:widowControl/>
        <w:suppressLineNumbers w:val="0"/>
        <w:pBdr>
          <w:bottom w:val="single" w:color="EEEEEE" w:sz="8" w:space="0"/>
        </w:pBdr>
        <w:shd w:val="clear" w:fill="FFFFFF"/>
        <w:spacing w:line="13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3E50"/>
          <w:spacing w:val="0"/>
          <w:shd w:val="clear" w:fill="FFFFFF"/>
        </w:rPr>
        <w:t>Key Takeaways</w:t>
      </w:r>
    </w:p>
    <w:p w14:paraId="5C79037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Mindray’s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scale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integrated platform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, and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China leadership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underpin durable growth. The stock offers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attractive upside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given consensus TP ~¥310 (+33%) and accelerating international expansion. Monitor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IVD reagent pricing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and </w:t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US-China supply risks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for margin stability.</w:t>
      </w:r>
    </w:p>
    <w:p w14:paraId="68D0607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"https://stockanalysis.com/quote/she/300760/"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"https://www.investing.com/equities/shenzhen-mindray-bio-medical"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"https://www.marketscreener.com/quote/stock/SHENZHEN-MINDRAY-BIO-MEDI-49733163/finances/"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"https://hk-official.cmbi.info/upload/dd6e5bb7-6aa5-42db-8244-e1d6bb6e4d1e.pdf"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"http://www.aastocks.com/en/cnhk/analysis/dividend.aspx?shsymbol=300760"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"https://www.futunn.com/en/stock/300760-SZ/earnings"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"https://in.investing.com/equities/shenzhen-mindray-bio-medical-historical-data"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7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"https://companiesmarketcap.com/hkd/mindray/marketcap/"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8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"https://www.marketscreener.com/quote/stock/SHENZHEN-MINDRAY-BIO-MEDI-49733163/"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9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"http://www.aastocks.com/en/cnhk/quote/quick-quote.aspx?shsymbol=300760"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"https://finance.yahoo.com/quote/300760.SZ/key-statistics/"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11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"https://www.mindray.com/content/xpace/en/investor-relations.html"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12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"https://www.futunn.com/en/stock/300760-SZ"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13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"https://www.cnbc.com/quotes/300760-CN"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"https://www.wsj.com/market-data/quotes/CN/XSHE/300760/financials"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15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"https://finance.yahoo.com/quote/300760.SZ/"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16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"https://www.bloomberg.com/quote/300760:CH"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17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"https://www.mindray.com/etc.clientlibs/xpace/clientlibs/clientlib-site/resources/plugins/web/viewer.html?file=/content/dam/xpace/zh/investor-relations/financialinformation/2025/mindray-2025-q1-report-cn.pdf"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18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"https://finance.yahoo.com/quote/300760.SZ/history/"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19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instrText xml:space="preserve"> HYPERLINK "https://www.reuters.com/markets/companies/300760.sz/financials"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t>20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 w14:paraId="598D48A4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20CF66">
    <w:pPr>
      <w:pStyle w:val="5"/>
      <w:rPr>
        <w:rFonts w:hint="eastAsia"/>
        <w:lang w:val="en-US" w:eastAsia="zh-CN"/>
      </w:rPr>
    </w:pPr>
    <w:r>
      <w:rPr>
        <w:rFonts w:hint="eastAsia"/>
        <w:lang w:val="en-US" w:eastAsia="zh-CN"/>
      </w:rPr>
      <w:t>Jessica Zheng</w:t>
    </w:r>
  </w:p>
  <w:p w14:paraId="12572531">
    <w:pPr>
      <w:pStyle w:val="5"/>
      <w:rPr>
        <w:rFonts w:hint="eastAsia"/>
        <w:lang w:val="en-US" w:eastAsia="zh-CN"/>
      </w:rPr>
    </w:pPr>
    <w:r>
      <w:rPr>
        <w:rFonts w:hint="eastAsia"/>
        <w:lang w:val="en-US" w:eastAsia="zh-CN"/>
      </w:rPr>
      <w:t>5 September 2025</w:t>
    </w:r>
  </w:p>
  <w:p w14:paraId="0F63B9A0">
    <w:pPr>
      <w:pStyle w:val="5"/>
      <w:rPr>
        <w:rFonts w:hint="default"/>
        <w:lang w:val="en-US" w:eastAsia="zh-CN"/>
      </w:rPr>
    </w:pPr>
    <w:r>
      <w:rPr>
        <w:rFonts w:hint="eastAsia"/>
        <w:lang w:val="en-US" w:eastAsia="zh-CN"/>
      </w:rPr>
      <w:t>Using Perplexity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BA906"/>
    <w:multiLevelType w:val="multilevel"/>
    <w:tmpl w:val="A47BA9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18024D"/>
    <w:multiLevelType w:val="multilevel"/>
    <w:tmpl w:val="AA1802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B729C34"/>
    <w:multiLevelType w:val="multilevel"/>
    <w:tmpl w:val="BB729C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0ECEE7C"/>
    <w:multiLevelType w:val="multilevel"/>
    <w:tmpl w:val="D0ECEE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F642932"/>
    <w:multiLevelType w:val="multilevel"/>
    <w:tmpl w:val="EF6429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CE5381F"/>
    <w:multiLevelType w:val="multilevel"/>
    <w:tmpl w:val="FCE538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BA54C58"/>
    <w:multiLevelType w:val="multilevel"/>
    <w:tmpl w:val="1BA54C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6721FFF"/>
    <w:multiLevelType w:val="multilevel"/>
    <w:tmpl w:val="26721F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FF48A02"/>
    <w:multiLevelType w:val="multilevel"/>
    <w:tmpl w:val="3FF48A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B275BD0"/>
    <w:multiLevelType w:val="multilevel"/>
    <w:tmpl w:val="4B275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A701328"/>
    <w:multiLevelType w:val="multilevel"/>
    <w:tmpl w:val="5A7013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A5694"/>
    <w:rsid w:val="25BA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2025-09-05T06:27:00Z</dcterms:created>
  <dc:creator>Jessica</dc:creator>
  <cp:lastModifiedBy>Jessica</cp:lastModifiedBy>
  <dcterms:modified xsi:type="dcterms:W3CDTF">2025-09-05T06:30:50Z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081E1C4B545D43DF8E5A5CF98605F801_11</vt:lpwstr>
  </property>
  <property fmtid="{D5CDD505-2E9C-101B-9397-08002B2CF9AE}" pid="4" name="KSOTemplateDocerSaveRecord">
    <vt:lpwstr>eyJoZGlkIjoiYTQxOThlMTQ3ZDBkODcyMDkzOGU3NGUyNWU5NTI2YWQiLCJ1c2VySWQiOiI1ODkwNTQ4NTQifQ==</vt:lpwstr>
  </property>
</Properties>
</file>