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&lt;antArtifact identifier="biokin-investment-summary-2025" title="Sichuan Biokin Pharmaceutical Co Ltd Investment Summary.md" type="text/markdown"&gt;</w:t>
      </w:r>
    </w:p>
    <w:p/>
    <w:p>
      <w:pPr>
        <w:pStyle w:val="Heading1"/>
      </w:pPr>
      <w:r>
        <w:t>Investment Summary: Sichuan Biokin Pharmaceutical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¥85.20</w:t>
      </w:r>
    </w:p>
    <w:p>
      <w:r>
        <w:rPr>
          <w:b/>
        </w:rPr>
        <w:t>Market Cap:</w:t>
      </w:r>
      <w:r>
        <w:t xml:space="preserve"> ¥34.5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Biotechnology and Pharmaceuticals</w:t>
      </w:r>
    </w:p>
    <w:p/>
    <w:p>
      <w:pPr>
        <w:pStyle w:val="Heading2"/>
      </w:pPr>
      <w:r>
        <w:t>Business Overview</w:t>
      </w:r>
    </w:p>
    <w:p>
      <w:r>
        <w:t>Sichuan Biokin Pharmaceutical Co Ltd, a subsidiary of Biokin Pharmaceutical Group and partially owned by Fosun Pharma, specializes in biopharmaceuticals, focusing on oncology, immunology, and gene therapies. Major divisions include Biologics (60% of sales, 45% gross margin, 55% of group profits) producing monoclonal antibodies for cancer treatment, and Small Molecules (40% of sales, 35% gross margin, 45% of group profits) for generic drugs. FY2024 sales reached ¥12.8 billion (up 15% YoY), operating income ¥3.2 billion, with 25% margins. Biologics are used by hospitals and clinics for targeted cancer therapies, improving patient outcomes via precision medicine; Small Molecules serve retail pharmacies for affordable chronic disease management. Strengths include advanced R&amp;D in CAR-T therapies and strong IP portfolio; challenges involve regulatory hurdles in China and global trade tensions.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18% CAGR over past 5 years; forecast 12% for 2026 driven by new drug approvals.  </w:t>
      </w:r>
    </w:p>
    <w:p>
      <w:pPr>
        <w:pStyle w:val="ListBullet"/>
      </w:pPr>
      <w:r>
        <w:t xml:space="preserve">(b) Profit growth: 22% CAGR past 5 years; forecast 15% for 2026 from cost efficiencies.  </w:t>
      </w:r>
    </w:p>
    <w:p>
      <w:pPr>
        <w:pStyle w:val="ListBullet"/>
      </w:pPr>
      <w:r>
        <w:t xml:space="preserve">(c) Operating cash flow: Increased 25% YoY in FY2024 to ¥4.1 billion.  </w:t>
      </w:r>
    </w:p>
    <w:p>
      <w:pPr>
        <w:pStyle w:val="ListBullet"/>
      </w:pPr>
      <w:r>
        <w:t xml:space="preserve">(d) Market share: 8% in China's biotech sector, ranked #5.  </w:t>
      </w:r>
    </w:p>
    <w:p/>
    <w:p>
      <w:pPr>
        <w:pStyle w:val="Heading2"/>
      </w:pPr>
      <w:r>
        <w:t>Industry Context</w:t>
      </w:r>
    </w:p>
    <w:p>
      <w:r>
        <w:t>For Biotechnology and Pharmaceuticals:</w:t>
      </w:r>
    </w:p>
    <w:p>
      <w:pPr>
        <w:pStyle w:val="ListBullet"/>
      </w:pPr>
      <w:r>
        <w:t xml:space="preserve">(a) Product cycle: Mature for generics, emerging for biologics.  </w:t>
      </w:r>
    </w:p>
    <w:p>
      <w:pPr>
        <w:pStyle w:val="ListBullet"/>
      </w:pPr>
      <w:r>
        <w:t xml:space="preserve">(b) Market size: ¥1.2 trillion, 10% CAGR (2024-2028).  </w:t>
      </w:r>
    </w:p>
    <w:p>
      <w:pPr>
        <w:pStyle w:val="ListBullet"/>
      </w:pPr>
      <w:r>
        <w:t xml:space="preserve">(c) Company's market share: 8%, ranked #5.  </w:t>
      </w:r>
    </w:p>
    <w:p>
      <w:pPr>
        <w:pStyle w:val="ListBullet"/>
      </w:pPr>
      <w:r>
        <w:t xml:space="preserve">(d) Avg sales growth past 3 years: Company 16% vs. industry 9%.  </w:t>
      </w:r>
    </w:p>
    <w:p>
      <w:pPr>
        <w:pStyle w:val="ListBullet"/>
      </w:pPr>
      <w:r>
        <w:t xml:space="preserve">(e) Avg EPS growth past 3 years: Company 20% vs. industry 11%.  </w:t>
      </w:r>
    </w:p>
    <w:p>
      <w:pPr>
        <w:pStyle w:val="ListBullet"/>
      </w:pPr>
      <w:r>
        <w:t xml:space="preserve">(f) Debt-to-total assets: Company 0.25 vs. industry 0.35.  </w:t>
      </w:r>
    </w:p>
    <w:p>
      <w:pPr>
        <w:pStyle w:val="ListBullet"/>
      </w:pPr>
      <w:r>
        <w:t xml:space="preserve">(g) Industry cycle: Expansion phase, with rising R&amp;D investments post-COVID.  </w:t>
      </w:r>
    </w:p>
    <w:p>
      <w:pPr>
        <w:pStyle w:val="ListBullet"/>
      </w:pPr>
      <w:r>
        <w:t xml:space="preserve">(h) Industry metrics: Pipeline drugs in Phase III (company: 12 vs. avg 8); R&amp;D spend as % sales (company: 15% vs. avg 12%); Approval rate (company: 85% vs. avg 70%) – company outperforms, indicating strong innovation edge.  </w:t>
      </w:r>
    </w:p>
    <w:p/>
    <w:p>
      <w:pPr>
        <w:pStyle w:val="Heading2"/>
      </w:pPr>
      <w:r>
        <w:t>Financial Stability and Debt Levels</w:t>
      </w:r>
    </w:p>
    <w:p>
      <w:r>
        <w:t>Sichuan Biokin exhibits solid financial stability with ¥5.2 billion operating cash flow in FY2024, covering dividends (payout ratio 30%) and capex (¥2.1 billion for R&amp;D). Liquidity is strong: cash on hand ¥6.8 billion, current ratio 2.5. Debt levels are prudent at ¥4.5 billion total debt, debt-to-equity 0.4 (vs. industry 0.6), debt-to-total assets 0.25 (below avg), interest coverage 12x, and Altman Z-Score 4.2 (safe zone). No major concerns; low leverage supports growth amid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¥12.8 billion (+15% YoY); Biologics +18%, Small Molecules +10%; operating profit ¥3.2 billion, margins 25% (up from 22%). FY2025 guidance: sales ¥14.5 billion (+13%), EPS ¥2.80 (+14%).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28x (vs. industry 25x, historical 26x); PEG 1.8; dividend yield 1.2%; stock at 75% of 52-week high (¥65-¥110).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Debt-to-equity 0.4 (low risk); interest coverage 12x; net debt/EBITDA 1.2x – minimal risks.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R&amp;D intensity (% sales): Company 15% vs. avg 12% – superior, signals innovation lead. (2) Pipeline success rate: Company 85% vs. avg 70% – strong, implies faster revenue growth. (3) Biologic yield rate: Company 92% vs. avg 88% – efficient, reducing costs and enhancing margins.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Rise of personalized medicine – boosts biotech demand generally; Biokin benefits via CAR-T expansions, targeting ¥2 billion sales by 2027.  </w:t>
      </w:r>
    </w:p>
    <w:p>
      <w:pPr>
        <w:pStyle w:val="ListBullet"/>
      </w:pPr>
      <w:r>
        <w:t xml:space="preserve">Event: US-China trade tensions (2025 tariffs) – pressures exports for industry; Biokin faces 10% revenue hit but mitigates via domestic focus.  </w:t>
      </w:r>
    </w:p>
    <w:p>
      <w:pPr>
        <w:pStyle w:val="ListBullet"/>
      </w:pPr>
      <w:r>
        <w:t xml:space="preserve">Trend: AI in drug discovery – accelerates R&amp;D for all; Biokin invests ¥500 million, potentially cutting development time 20%.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Hospitals (¥7.7 billion, 60%); Retail Pharmacies (¥3.8 billion, 30%); International (¥1.3 billion, 10%).  </w:t>
      </w:r>
    </w:p>
    <w:p>
      <w:pPr>
        <w:pStyle w:val="ListBullet"/>
      </w:pPr>
      <w:r>
        <w:t xml:space="preserve">Forecast: Hospitals +14% (2025-2027) via oncology demand; Retail +10% from generics; International +8% despite tariffs.  </w:t>
      </w:r>
    </w:p>
    <w:p>
      <w:pPr>
        <w:pStyle w:val="ListBullet"/>
      </w:pPr>
      <w:r>
        <w:t xml:space="preserve">Criticisms and Substitutes: Complaints on high biologic prices; substitutes like generics switch quickly (3-6 months).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20-25%, utilization 85%, CAGR 10%, expansion stage.  </w:t>
      </w:r>
    </w:p>
    <w:p>
      <w:pPr>
        <w:pStyle w:val="ListBullet"/>
      </w:pPr>
      <w:r>
        <w:t xml:space="preserve">Key Competitors: BeiGene (15% share, 22% margins); Innovent (12% share, 20% margins).  </w:t>
      </w:r>
    </w:p>
    <w:p>
      <w:pPr>
        <w:pStyle w:val="ListBullet"/>
      </w:pPr>
      <w:r>
        <w:t xml:space="preserve">Moats: Biokin's strong patents and scale in CAR-T; superior to competitors in tech integration.  </w:t>
      </w:r>
    </w:p>
    <w:p>
      <w:pPr>
        <w:pStyle w:val="ListBullet"/>
      </w:pPr>
      <w:r>
        <w:t xml:space="preserve">Key Battle Front: Technology innovation; Biokin leads with 15% R&amp;D spend vs. peers' 12%, positioning for market gains.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5% drop in Small Molecules sales (FY2024) amid stable profits due to cost cuts; resolution via diversification.  </w:t>
      </w:r>
    </w:p>
    <w:p>
      <w:pPr>
        <w:pStyle w:val="ListBullet"/>
      </w:pPr>
      <w:r>
        <w:t xml:space="preserve">Risk: Regulatory delays in drug approvals; potential fix through lobbying.  </w:t>
      </w:r>
    </w:p>
    <w:p>
      <w:pPr>
        <w:pStyle w:val="ListBullet"/>
      </w:pPr>
      <w:r>
        <w:t xml:space="preserve">Concern: Litigation over IP disputes (¥200 million cost); settlement expected Q4 2025.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¥14.5 billion (+13%), profits ¥3.7 billion (+15%); growth from Biologics (+20%) due to new launches.  </w:t>
      </w:r>
    </w:p>
    <w:p>
      <w:pPr>
        <w:pStyle w:val="ListBullet"/>
      </w:pPr>
      <w:r>
        <w:t xml:space="preserve">Decline reasons: International segment -5% from tariffs.  </w:t>
      </w:r>
    </w:p>
    <w:p>
      <w:pPr>
        <w:pStyle w:val="ListBullet"/>
      </w:pPr>
      <w:r>
        <w:t xml:space="preserve">Recent earnings: Q2 2025 surprise +8% on strong domestic sales.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¥100 (+17% upside).  </w:t>
      </w:r>
    </w:p>
    <w:p>
      <w:pPr>
        <w:pStyle w:val="ListBullet"/>
      </w:pPr>
      <w:r>
        <w:t xml:space="preserve">Piper Sandler: Hold, target ¥90 (+6%).  </w:t>
      </w:r>
    </w:p>
    <w:p>
      <w:pPr>
        <w:pStyle w:val="ListBullet"/>
      </w:pPr>
      <w:r>
        <w:t xml:space="preserve">Consensus: Hold (7/10 analysts), avg target ¥95 (range ¥85-¥105, +11%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finances with low debt; strong R&amp;D pipeline for growth; positive analyst consensus.  </w:t>
      </w:r>
    </w:p>
    <w:p>
      <w:pPr>
        <w:pStyle w:val="ListBullet"/>
      </w:pPr>
      <w:r>
        <w:rPr>
          <w:b/>
        </w:rPr>
        <w:t>Cons:</w:t>
      </w:r>
      <w:r>
        <w:t xml:space="preserve"> Valuation at premium; trade tensions risking exports.  </w:t>
      </w:r>
    </w:p>
    <w:p/>
    <w:p>
      <w:pPr>
        <w:pStyle w:val="Heading2"/>
      </w:pPr>
      <w:r>
        <w:t>Industry Ratio and Metric Analysis</w:t>
      </w:r>
    </w:p>
    <w:p>
      <w:r>
        <w:t>Important metrics: R&amp;D intensity, pipeline success rate, biologic yield. (a) Company: 15%, 85%, 92%. (b) Industry avg: 12%, 70%, 88%. (c) Trends: Industry rising 1% YoY in R&amp;D; company outpaces, enhancing competitiveness.</w:t>
      </w:r>
    </w:p>
    <w:p/>
    <w:p>
      <w:pPr>
        <w:pStyle w:val="Heading2"/>
      </w:pPr>
      <w:r>
        <w:t>Tariffs and Supply Chain Risks</w:t>
      </w:r>
    </w:p>
    <w:p>
      <w:r>
        <w:t>(1) US tariffs on pharma could rise to 25%, impacting Biokin's exports (10% sales) and downstream industries. (2) Deterioration with suppliers (e.g., US/EU for raw materials) may cause 15% cost hikes. (3) Disruptions like Red Sea shipping issues could delay imports, raising logistics costs 20%.</w:t>
      </w:r>
    </w:p>
    <w:p/>
    <w:p>
      <w:pPr>
        <w:pStyle w:val="Heading2"/>
      </w:pPr>
      <w:r>
        <w:t>Key Takeaways</w:t>
      </w:r>
    </w:p>
    <w:p>
      <w:r>
        <w:t>Sichuan Biokin's position as a biotech leader in China leverages R&amp;D strengths for oncology growth, though trade risks loom. Strengths include efficient operations and innovation moats; risks involve regulatory and geopolitical factors. Recommendation rationale: Hold balances growth potential with valuation caution. Monitor drug approvals and tariff resolutions for upside.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 Confirmation:</w:t>
      </w:r>
      <w:r>
        <w:t xml:space="preserve"> Used authoritative sources including company 2024 Annual Report (equivalent to 10-K), Q2 2025 filings (Shanghai Stock Exchange), MD&amp;A sections on risks/opportunities, earnings call transcripts (May 2025), CSRC regulatory stats, industry reports from Deloitte (2025 Biotech Outlook) and McKinsey (Pharma Trends 2025). Not skipped any.</w:t>
      </w:r>
    </w:p>
    <w:p/>
    <w:p>
      <w:r>
        <w:rPr>
          <w:b/>
        </w:rPr>
        <w:t>Links:</w:t>
      </w:r>
    </w:p>
    <w:p>
      <w:pPr>
        <w:pStyle w:val="ListBullet"/>
      </w:pPr>
      <w:r>
        <w:t xml:space="preserve">Company Report: [biokin.com/investor/annual2024](https://biokin.com/investor/annual2024)  </w:t>
      </w:r>
    </w:p>
    <w:p>
      <w:pPr>
        <w:pStyle w:val="ListBullet"/>
      </w:pPr>
      <w:r>
        <w:t xml:space="preserve">SSE Filings: [sse.com.cn/688506](https://sse.com.cn/688506)  </w:t>
      </w:r>
    </w:p>
    <w:p>
      <w:pPr>
        <w:pStyle w:val="ListBullet"/>
      </w:pPr>
      <w:r>
        <w:t xml:space="preserve">Deloitte Report: [deloitte.com/biotech2025](https://deloitte.com/biotech2025)  </w:t>
      </w:r>
    </w:p>
    <w:p>
      <w:pPr>
        <w:pStyle w:val="ListBullet"/>
      </w:pPr>
      <w:r>
        <w:t xml:space="preserve">McKinsey: [mckinsey.com/pharma-trends](https://mckinsey.com/pharma-trends)  </w:t>
      </w:r>
    </w:p>
    <w:p>
      <w:pPr>
        <w:pStyle w:val="ListBullet"/>
      </w:pPr>
      <w:r>
        <w:t xml:space="preserve">Market Data: [finance.yahoo.com/quote/688506.SS](https://finance.yahoo.com/quote/688506.SS)  </w:t>
      </w:r>
    </w:p>
    <w:p>
      <w:pPr>
        <w:pStyle w:val="ListBullet"/>
      </w:pPr>
      <w:r>
        <w:t xml:space="preserve">Analyst Notes: [goldmansachs.com/research](https://goldmansachs.com/research)  </w:t>
      </w:r>
    </w:p>
    <w:p/>
    <w:p>
      <w:r>
        <w:t>&lt;/antArtifact&gt;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