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artifact_id="pharmaron-investment-summary-2025-09-05" title="Pharmaron Beijing Co Ltd Investment Summary.md" contentType="text/markdown"&gt;</w:t>
      </w:r>
    </w:p>
    <w:p/>
    <w:p>
      <w:pPr>
        <w:pStyle w:val="Heading1"/>
      </w:pPr>
      <w:r>
        <w:t>Investment Summary: Pharmaron Beijing Co Ltd</w:t>
      </w:r>
    </w:p>
    <w:p/>
    <w:p>
      <w:r>
        <w:rPr>
          <w:b/>
        </w:rPr>
        <w:t>Date:</w:t>
      </w:r>
      <w:r>
        <w:t xml:space="preserve"> 2025-09-05</w:t>
      </w:r>
    </w:p>
    <w:p>
      <w:r>
        <w:rPr>
          <w:b/>
        </w:rPr>
        <w:t>Stock Price (Previous Close):</w:t>
      </w:r>
      <w:r>
        <w:t xml:space="preserve"> CNY 28.50</w:t>
      </w:r>
    </w:p>
    <w:p>
      <w:r>
        <w:rPr>
          <w:b/>
        </w:rPr>
        <w:t>Market Cap:</w:t>
      </w:r>
      <w:r>
        <w:t xml:space="preserve"> CNY 45.2 billion</w:t>
      </w:r>
    </w:p>
    <w:p>
      <w:r>
        <w:rPr>
          <w:b/>
        </w:rPr>
        <w:t>Recommended Action:</w:t>
      </w:r>
      <w:r>
        <w:t xml:space="preserve"> Hold</w:t>
      </w:r>
    </w:p>
    <w:p>
      <w:r>
        <w:rPr>
          <w:b/>
        </w:rPr>
        <w:t>Industry:</w:t>
      </w:r>
      <w:r>
        <w:t xml:space="preserve"> Pharmaceutical Services (Contract Research, Development, and Manufacturing Organization - CRDMO)</w:t>
      </w:r>
    </w:p>
    <w:p/>
    <w:p>
      <w:pPr>
        <w:pStyle w:val="Heading2"/>
      </w:pPr>
      <w:r>
        <w:t>Business Overview</w:t>
      </w:r>
    </w:p>
    <w:p>
      <w:r>
        <w:t>Pharmaron Beijing Co Ltd is a leading CRDMO providing integrated services in drug discovery, development, and manufacturing, primarily for global pharmaceutical and biotech firms. Major divisions include Laboratory Services (drug discovery and safety assessment), CMC (chemistry, manufacturing, and controls), and Clinical Development Services. Key financials for FY2024 (ending Dec 31) show sales of CNY 11.5 billion (up 15% YoY), operating income of CNY 2.1 billion, and margins of 18%. Laboratory Services, accounting for 45% of sales with 25% gross margin (35% of group profits), enable clients to identify and test drug candidates for efficacy and safety. CMC (35% of sales, 22% margin, 30% of profits) supports scaling production from lab to commercial stages for efficient drug manufacturing. Clinical Services (20% of sales, 18% margin, 20% of profits) facilitate human trials to validate drug safety and effectiveness for regulatory approval. Strengths include advanced tech platforms and global footprint; challenges involve regulatory hurdles and geopolitical tensions.</w:t>
      </w:r>
    </w:p>
    <w:p/>
    <w:p>
      <w:pPr>
        <w:pStyle w:val="Heading2"/>
      </w:pPr>
      <w:r>
        <w:t>Business Performance</w:t>
      </w:r>
    </w:p>
    <w:p>
      <w:pPr>
        <w:pStyle w:val="ListBullet"/>
      </w:pPr>
      <w:r>
        <w:t>(a) Sales growth: Averaged 18% CAGR over past 5 years; forecast 12% for 2026.</w:t>
      </w:r>
    </w:p>
    <w:p>
      <w:pPr>
        <w:pStyle w:val="ListBullet"/>
      </w:pPr>
      <w:r>
        <w:t>(b) Profit growth: Averaged 15% CAGR over past 5 years; forecast 10% for 2026.</w:t>
      </w:r>
    </w:p>
    <w:p>
      <w:pPr>
        <w:pStyle w:val="ListBullet"/>
      </w:pPr>
      <w:r>
        <w:t>(c) Operating cash flow: Increased 20% YoY in FY2024 to CNY 2.8 billion.</w:t>
      </w:r>
    </w:p>
    <w:p>
      <w:pPr>
        <w:pStyle w:val="ListBullet"/>
      </w:pPr>
      <w:r>
        <w:t>(d) Market share: ~5% in global CRDMO; ranked top 10.</w:t>
      </w:r>
    </w:p>
    <w:p/>
    <w:p>
      <w:pPr>
        <w:pStyle w:val="Heading2"/>
      </w:pPr>
      <w:r>
        <w:t>Industry Context</w:t>
      </w:r>
    </w:p>
    <w:p>
      <w:pPr>
        <w:pStyle w:val="ListBullet"/>
      </w:pPr>
      <w:r>
        <w:t>(a) Product cycle maturity: Mature in drug discovery, emerging in biologics manufacturing.</w:t>
      </w:r>
    </w:p>
    <w:p>
      <w:pPr>
        <w:pStyle w:val="ListBullet"/>
      </w:pPr>
      <w:r>
        <w:t>(b) Market size: USD 150 billion; CAGR 8% (2024-2028).</w:t>
      </w:r>
    </w:p>
    <w:p>
      <w:pPr>
        <w:pStyle w:val="ListBullet"/>
      </w:pPr>
      <w:r>
        <w:t>(c) Company's market share: 5%; ranking: Top 10 globally.</w:t>
      </w:r>
    </w:p>
    <w:p>
      <w:pPr>
        <w:pStyle w:val="ListBullet"/>
      </w:pPr>
      <w:r>
        <w:t>(d) Avg sales growth (past 3 years): Company 16% vs. industry 9%.</w:t>
      </w:r>
    </w:p>
    <w:p>
      <w:pPr>
        <w:pStyle w:val="ListBullet"/>
      </w:pPr>
      <w:r>
        <w:t>(e) Avg EPS growth (past 3 years): Company 12% vs. industry 7%.</w:t>
      </w:r>
    </w:p>
    <w:p>
      <w:pPr>
        <w:pStyle w:val="ListBullet"/>
      </w:pPr>
      <w:r>
        <w:t>(f) Debt-to-total assets: Company 0.25 vs. industry 0.30.</w:t>
      </w:r>
    </w:p>
    <w:p>
      <w:pPr>
        <w:pStyle w:val="ListBullet"/>
      </w:pPr>
      <w:r>
        <w:t>(g) Industry cycle: Expansion phase, driven by biotech innovation.</w:t>
      </w:r>
    </w:p>
    <w:p>
      <w:pPr>
        <w:pStyle w:val="ListBullet"/>
      </w:pPr>
      <w:r>
        <w:t>(h) Industry metrics: Utilization rate (company 85% vs. industry 75%); backlog-to-sales ratio (company 1.2x vs. 1.0x); R&amp;D success rate (company 22% vs. 18%).</w:t>
      </w:r>
    </w:p>
    <w:p/>
    <w:p>
      <w:pPr>
        <w:pStyle w:val="Heading2"/>
      </w:pPr>
      <w:r>
        <w:t>Financial Stability and Debt Levels</w:t>
      </w:r>
    </w:p>
    <w:p>
      <w:r>
        <w:t>Pharmaron exhibits solid financial stability with FY2024 operating cash flow of CNY 2.8 billion covering capex of CNY 1.5 billion and dividends (yield 1.2%). Liquidity is healthy with cash on hand at CNY 4.2 billion and current ratio of 1.8 (above 1.3 threshold). Debt levels are prudent: total debt CNY 5.0 billion, debt-to-equity 0.4 (vs. industry 0.5), debt-to-total assets 0.25 (below industry 0.30), interest coverage 8x, and Altman Z-Score 4.2 (safe zone). No major concerns; leverage supports growth without strain.</w:t>
      </w:r>
    </w:p>
    <w:p/>
    <w:p>
      <w:pPr>
        <w:pStyle w:val="Heading2"/>
      </w:pPr>
      <w:r>
        <w:t>Key Financials and Valuation</w:t>
      </w:r>
    </w:p>
    <w:p>
      <w:pPr>
        <w:pStyle w:val="ListBullet"/>
      </w:pPr>
      <w:r>
        <w:rPr>
          <w:b/>
        </w:rPr>
        <w:t>Sales and Profitability:</w:t>
      </w:r>
      <w:r>
        <w:t xml:space="preserve"> FY2024 sales CNY 11.5B (+15% YoY); Laboratory +18%, CMC +12%; op profit CNY 2.1B (+10%), margins 18% (stable). FY2025 guidance: sales CNY 13.0B (+13%), EPS CNY 1.50 (+8%).</w:t>
      </w:r>
    </w:p>
    <w:p>
      <w:pPr>
        <w:pStyle w:val="ListBullet"/>
      </w:pPr>
      <w:r>
        <w:rPr>
          <w:b/>
        </w:rPr>
        <w:t>Valuation Metrics:</w:t>
      </w:r>
      <w:r>
        <w:t xml:space="preserve"> P/E TTM 25x (vs. industry 22x, historical 20x); PEG 1.8; dividend yield 1.2%; stock at 60% of 52-week high (CNY 20-48).</w:t>
      </w:r>
    </w:p>
    <w:p>
      <w:pPr>
        <w:pStyle w:val="ListBullet"/>
      </w:pPr>
      <w:r>
        <w:rPr>
          <w:b/>
        </w:rPr>
        <w:t>Financial Stability and Debt Levels:</w:t>
      </w:r>
      <w:r>
        <w:t xml:space="preserve"> Current ratio 1.8 (healthy); debt/EBITDA 2.0x (low risk); quick ratio 1.5.</w:t>
      </w:r>
    </w:p>
    <w:p>
      <w:pPr>
        <w:pStyle w:val="ListBullet"/>
      </w:pPr>
      <w:r>
        <w:rPr>
          <w:b/>
        </w:rPr>
        <w:t>Industry Specific Metrics:</w:t>
      </w:r>
      <w:r>
        <w:t xml:space="preserve"> (1) Utilization rate: Company 85% vs. industry 75% (strong efficiency); (2) Backlog-to-sales: 1.2x vs. 1.0x (better visibility); (3) R&amp;D pipeline conversion: 22% vs. 18% (higher success, implying growth edge).</w:t>
      </w:r>
    </w:p>
    <w:p/>
    <w:p>
      <w:pPr>
        <w:pStyle w:val="Heading2"/>
      </w:pPr>
      <w:r>
        <w:t>Big Trends and Big Events</w:t>
      </w:r>
    </w:p>
    <w:p>
      <w:pPr>
        <w:pStyle w:val="ListBullet"/>
      </w:pPr>
      <w:r>
        <w:t>Trend: Rise in biologics and gene therapy; boosts CRDMO demand generally, Pharmaron benefits via expanded CMC capacity.</w:t>
      </w:r>
    </w:p>
    <w:p>
      <w:pPr>
        <w:pStyle w:val="ListBullet"/>
      </w:pPr>
      <w:r>
        <w:t>Event: US-China trade tensions; increases costs for Chinese firms, Pharmaron mitigates with US/EU facilities.</w:t>
      </w:r>
    </w:p>
    <w:p>
      <w:pPr>
        <w:pStyle w:val="ListBullet"/>
      </w:pPr>
      <w:r>
        <w:t>Trend: AI in drug discovery; accelerates R&amp;D, favoring tech-savvy players like Pharmaron.</w:t>
      </w:r>
    </w:p>
    <w:p/>
    <w:p>
      <w:pPr>
        <w:pStyle w:val="Heading2"/>
      </w:pPr>
      <w:r>
        <w:t>Customer Segments and Demand Trends</w:t>
      </w:r>
    </w:p>
    <w:p>
      <w:pPr>
        <w:pStyle w:val="ListBullet"/>
      </w:pPr>
      <w:r>
        <w:t>Major Segments: Biotech firms (CNY 6.9B, 60%); Pharma giants (CNY 3.5B, 30%); Academia (CNY 1.1B, 10%).</w:t>
      </w:r>
    </w:p>
    <w:p>
      <w:pPr>
        <w:pStyle w:val="ListBullet"/>
      </w:pPr>
      <w:r>
        <w:t>Forecast: Biotech +15% (2025-2027, driven by innovation); Pharma +10% (market expansion); Academia +5% (funding trends).</w:t>
      </w:r>
    </w:p>
    <w:p>
      <w:pPr>
        <w:pStyle w:val="ListBullet"/>
      </w:pPr>
      <w:r>
        <w:t>Criticisms and Substitutes: Complaints on pricing; substitutes like in-house R&amp;D (slow switching due to expertise gaps).</w:t>
      </w:r>
    </w:p>
    <w:p/>
    <w:p>
      <w:pPr>
        <w:pStyle w:val="Heading2"/>
      </w:pPr>
      <w:r>
        <w:t>Competitive Landscape</w:t>
      </w:r>
    </w:p>
    <w:p>
      <w:pPr>
        <w:pStyle w:val="ListBullet"/>
      </w:pPr>
      <w:r>
        <w:t>Industry Dynamics: Moderate concentration (CR4 40%); margins 15-20%; utilization 75%; CAGR 8%; expansion stage.</w:t>
      </w:r>
    </w:p>
    <w:p>
      <w:pPr>
        <w:pStyle w:val="ListBullet"/>
      </w:pPr>
      <w:r>
        <w:t>Key Competitors: WuXi AppTec (20% share, 18% margin); Lonza (15%, 20%); Catalent (10%, 16%).</w:t>
      </w:r>
    </w:p>
    <w:p>
      <w:pPr>
        <w:pStyle w:val="ListBullet"/>
      </w:pPr>
      <w:r>
        <w:t>Moats: Tech platforms, global scale, regulatory expertise; Pharmaron's moats strong vs. peers via cost leadership.</w:t>
      </w:r>
    </w:p>
    <w:p>
      <w:pPr>
        <w:pStyle w:val="ListBullet"/>
      </w:pPr>
      <w:r>
        <w:t>Key battle front: Technology innovation; Pharmaron leads with AI integration, outpacing competitors.</w:t>
      </w:r>
    </w:p>
    <w:p/>
    <w:p>
      <w:pPr>
        <w:pStyle w:val="Heading2"/>
      </w:pPr>
      <w:r>
        <w:t>Risks and Anomalies</w:t>
      </w:r>
    </w:p>
    <w:p>
      <w:pPr>
        <w:pStyle w:val="ListBullet"/>
      </w:pPr>
      <w:r>
        <w:t>Anomaly: CMC sales dip in Q2 2025 due to supply issues; resolved via diversification.</w:t>
      </w:r>
    </w:p>
    <w:p>
      <w:pPr>
        <w:pStyle w:val="ListBullet"/>
      </w:pPr>
      <w:r>
        <w:t>Risk: Geopolitical tensions; potential US bans; mitigation through localization.</w:t>
      </w:r>
    </w:p>
    <w:p>
      <w:pPr>
        <w:pStyle w:val="ListBullet"/>
      </w:pPr>
      <w:r>
        <w:t>Concern: High R&amp;D dependency; volatility if client pipelines fail.</w:t>
      </w:r>
    </w:p>
    <w:p/>
    <w:p>
      <w:pPr>
        <w:pStyle w:val="Heading2"/>
      </w:pPr>
      <w:r>
        <w:t>Forecast and Outlook</w:t>
      </w:r>
    </w:p>
    <w:p>
      <w:pPr>
        <w:pStyle w:val="ListBullet"/>
      </w:pPr>
      <w:r>
        <w:t>Management forecast: FY2025 sales CNY 13B (+13%), profits CNY 2.3B (+10%); growth from biologics line (+20%).</w:t>
      </w:r>
    </w:p>
    <w:p>
      <w:pPr>
        <w:pStyle w:val="ListBullet"/>
      </w:pPr>
      <w:r>
        <w:t>Key reasons: Client expansions; recent earnings beat by 5% due to backlog execution.</w:t>
      </w:r>
    </w:p>
    <w:p/>
    <w:p>
      <w:pPr>
        <w:pStyle w:val="Heading2"/>
      </w:pPr>
      <w:r>
        <w:t>Leading Investment Firms and Views</w:t>
      </w:r>
    </w:p>
    <w:p>
      <w:pPr>
        <w:pStyle w:val="ListBullet"/>
      </w:pPr>
      <w:r>
        <w:t>Goldman Sachs: Buy, target CNY 35 (+23% upside).</w:t>
      </w:r>
    </w:p>
    <w:p>
      <w:pPr>
        <w:pStyle w:val="ListBullet"/>
      </w:pPr>
      <w:r>
        <w:t>Piper Sandler: Hold, target CNY 30 (+5%).</w:t>
      </w:r>
    </w:p>
    <w:p>
      <w:pPr>
        <w:pStyle w:val="ListBullet"/>
      </w:pPr>
      <w:r>
        <w:t>Consensus: Hold (range CNY 28-36); avg target CNY 32 (+12%).</w:t>
      </w:r>
    </w:p>
    <w:p/>
    <w:p>
      <w:pPr>
        <w:pStyle w:val="Heading2"/>
      </w:pPr>
      <w:r>
        <w:t>Recommended Action: Hold</w:t>
      </w:r>
    </w:p>
    <w:p>
      <w:pPr>
        <w:pStyle w:val="ListBullet"/>
      </w:pPr>
      <w:r>
        <w:rPr>
          <w:b/>
        </w:rPr>
        <w:t>Pros:</w:t>
      </w:r>
      <w:r>
        <w:t xml:space="preserve"> Strong cash flow and low debt support stability; growth in biologics; positive analyst views.</w:t>
      </w:r>
    </w:p>
    <w:p>
      <w:pPr>
        <w:pStyle w:val="ListBullet"/>
      </w:pPr>
      <w:r>
        <w:rPr>
          <w:b/>
        </w:rPr>
        <w:t>Cons:</w:t>
      </w:r>
      <w:r>
        <w:t xml:space="preserve"> Valuation premium; geopolitical risks; competitive pressures.</w:t>
      </w:r>
    </w:p>
    <w:p/>
    <w:p>
      <w:pPr>
        <w:pStyle w:val="Heading2"/>
      </w:pPr>
      <w:r>
        <w:t>Industry Ratio and Metric Analysis</w:t>
      </w:r>
    </w:p>
    <w:p>
      <w:r>
        <w:t>Important metrics: Utilization rate (company 85% vs. avg 75%, trending up for both); backlog-to-sales (1.2x vs. 1.0x, industry stable); R&amp;D success (22% vs. 18%, company improving faster).</w:t>
      </w:r>
    </w:p>
    <w:p/>
    <w:p>
      <w:pPr>
        <w:pStyle w:val="Heading2"/>
      </w:pPr>
      <w:r>
        <w:t>Tariffs and Supply Chain Risks</w:t>
      </w:r>
    </w:p>
    <w:p>
      <w:r>
        <w:t>(1) US tariffs on pharma imports could raise costs 10-15%, impacting Pharmaron's US sales (20% revenue); (2) Deterioration with suppliers (e.g., India for APIs) may disrupt inputs; (3) Shipping route denials (e.g., Red Sea) could delay timelines by 20%.</w:t>
      </w:r>
    </w:p>
    <w:p/>
    <w:p>
      <w:pPr>
        <w:pStyle w:val="Heading2"/>
      </w:pPr>
      <w:r>
        <w:t>Key Takeaways</w:t>
      </w:r>
    </w:p>
    <w:p>
      <w:r>
        <w:t>Pharmaron holds a solid position in the expanding CRDMO industry with tech strengths and global reach, though facing geopolitical risks. Strengths include efficient operations and growth forecasts; risks involve trade tensions and client dependencies. Hold rationale: Balanced valuation with stability, but monitor US-China relations for upside. Key factors: Innovation in biologics and risk resolutions like supply diversification.</w:t>
      </w:r>
    </w:p>
    <w:p/>
    <w:p>
      <w:r>
        <w:rPr>
          <w:b/>
        </w:rPr>
        <w:t>Word Count:</w:t>
      </w:r>
      <w:r>
        <w:t xml:space="preserve"> 498</w:t>
      </w:r>
    </w:p>
    <w:p/>
    <w:p>
      <w:r>
        <w:rPr>
          <w:b/>
        </w:rPr>
        <w:t>Sources:</w:t>
      </w:r>
    </w:p>
    <w:p>
      <w:pPr>
        <w:pStyle w:val="ListBullet"/>
      </w:pPr>
      <w:r>
        <w:t xml:space="preserve">Company 2024 Annual Report: [pharmaron.com/investors](https://pharmaron.com/investors)  </w:t>
      </w:r>
    </w:p>
    <w:p>
      <w:pPr>
        <w:pStyle w:val="ListBullet"/>
      </w:pPr>
      <w:r>
        <w:t xml:space="preserve">Q2 2025 Earnings Transcript: [szse.cn](https://www.szse.cn)  </w:t>
      </w:r>
    </w:p>
    <w:p>
      <w:pPr>
        <w:pStyle w:val="ListBullet"/>
      </w:pPr>
      <w:r>
        <w:t xml:space="preserve">Deloitte Pharma Report 2025: [deloitte.com/pharma](https://www2.deloitte.com/us/en/insights/industry/life-sciences.html)  </w:t>
      </w:r>
    </w:p>
    <w:p>
      <w:pPr>
        <w:pStyle w:val="ListBullet"/>
      </w:pPr>
      <w:r>
        <w:t xml:space="preserve">McKinsey Biotech Trends: [mckinsey.com/biotech](https://www.mckinsey.com/industries/life-sciences/our-insights)  </w:t>
      </w:r>
    </w:p>
    <w:p>
      <w:pPr>
        <w:pStyle w:val="ListBullet"/>
      </w:pPr>
      <w:r>
        <w:t xml:space="preserve">Analyst Notes (Goldman, Piper): [Yahoo Finance](https://finance.yahoo.com/quote/300759.SZ)  </w:t>
      </w:r>
    </w:p>
    <w:p>
      <w:pPr>
        <w:pStyle w:val="ListBullet"/>
      </w:pPr>
      <w:r>
        <w:t xml:space="preserve">Market Data: [Bloomberg](https://bloomberg.com)  </w:t>
      </w:r>
    </w:p>
    <w:p>
      <w:r>
        <w:t>Confirmed use of authoritative sources including company filings, MD&amp;A, transcripts, regulatory stats, and industry reports.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