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&lt;antArtifact identifier="focus-media-investment-summary" type="text/markdown" title="Focus Media Information Technology Co Ltd Investment Summary.md"&gt;</w:t>
      </w:r>
    </w:p>
    <w:p/>
    <w:p>
      <w:pPr>
        <w:pStyle w:val="Heading1"/>
      </w:pPr>
      <w:r>
        <w:t>Investment Summary: Focus Media Information Technology Co Ltd</w:t>
      </w:r>
    </w:p>
    <w:p/>
    <w:p>
      <w:r>
        <w:rPr>
          <w:b/>
        </w:rPr>
        <w:t>Date:</w:t>
      </w:r>
      <w:r>
        <w:t xml:space="preserve"> 2025-09-05</w:t>
      </w:r>
    </w:p>
    <w:p>
      <w:r>
        <w:rPr>
          <w:b/>
        </w:rPr>
        <w:t>Stock Price (Previous Close):</w:t>
      </w:r>
      <w:r>
        <w:t xml:space="preserve"> 6.45 CNY</w:t>
      </w:r>
    </w:p>
    <w:p>
      <w:r>
        <w:rPr>
          <w:b/>
        </w:rPr>
        <w:t>Market Cap:</w:t>
      </w:r>
      <w:r>
        <w:t xml:space="preserve"> 93.2 billion CNY</w:t>
      </w:r>
    </w:p>
    <w:p>
      <w:r>
        <w:rPr>
          <w:b/>
        </w:rPr>
        <w:t>Recommended Action:</w:t>
      </w:r>
      <w:r>
        <w:t xml:space="preserve"> Hold</w:t>
      </w:r>
    </w:p>
    <w:p>
      <w:r>
        <w:rPr>
          <w:b/>
        </w:rPr>
        <w:t>Industry:</w:t>
      </w:r>
      <w:r>
        <w:t xml:space="preserve"> Digital Out-of-Home (DOOH) Advertising, Media Technology</w:t>
      </w:r>
    </w:p>
    <w:p/>
    <w:p>
      <w:pPr>
        <w:pStyle w:val="Heading2"/>
      </w:pPr>
      <w:r>
        <w:t>Business Overview</w:t>
      </w:r>
    </w:p>
    <w:p>
      <w:r>
        <w:t>Focus Media Information Technology Co Ltd (002027.SZ) is a leading provider of digital advertising solutions in China, specializing in out-of-home media networks. Major divisions include Lifestyle Media (elevator and building ads), Cinema Media (pre-movie ads), and Digital Frame Media (office and residential displays). For FY2024 (ended Dec 31), sales reached 15.2 billion CNY, with operating income of 4.8 billion CNY and margins of 31.6%. Lifestyle Media, accounting for 72% of sales (gross margin 45%, 78% of group profits), delivers targeted ads in high-traffic urban areas to boost brand visibility for consumer goods clients. Cinema Media (18% of sales, gross margin 38%, 15% of profits) provides immersive pre-show advertising to entertainment seekers, enhancing recall. Digital Frame Media (10% of sales, gross margin 35%, 7% of profits) offers dynamic digital signage for real-time promotions in commercial spaces. Strengths include strong urban network coverage and data-driven targeting; challenges involve regulatory scrutiny on data privacy and competition from online ads.</w:t>
      </w:r>
    </w:p>
    <w:p/>
    <w:p>
      <w:pPr>
        <w:pStyle w:val="Heading2"/>
      </w:pPr>
      <w:r>
        <w:t>Business Performance</w:t>
      </w:r>
    </w:p>
    <w:p>
      <w:pPr>
        <w:pStyle w:val="ListBullet"/>
      </w:pPr>
      <w:r>
        <w:t xml:space="preserve">(a) Sales growth: +8% CAGR past 5 years; forecast +10% for 2026.  </w:t>
      </w:r>
    </w:p>
    <w:p>
      <w:pPr>
        <w:pStyle w:val="ListBullet"/>
      </w:pPr>
      <w:r>
        <w:t xml:space="preserve">(b) Profit growth: +12% CAGR past 5 years; forecast +15% for 2026.  </w:t>
      </w:r>
    </w:p>
    <w:p>
      <w:pPr>
        <w:pStyle w:val="ListBullet"/>
      </w:pPr>
      <w:r>
        <w:t xml:space="preserve">(c) Operating cash flow: +15% increase in FY2024 to 5.1 billion CNY.  </w:t>
      </w:r>
    </w:p>
    <w:p>
      <w:pPr>
        <w:pStyle w:val="ListBullet"/>
      </w:pPr>
      <w:r>
        <w:t>(d) Market share: 45% in China's DOOH sector, ranked #1.</w:t>
      </w:r>
    </w:p>
    <w:p/>
    <w:p>
      <w:pPr>
        <w:pStyle w:val="Heading2"/>
      </w:pPr>
      <w:r>
        <w:t>Industry Context</w:t>
      </w:r>
    </w:p>
    <w:p>
      <w:pPr>
        <w:pStyle w:val="ListBullet"/>
      </w:pPr>
      <w:r>
        <w:t xml:space="preserve">(a) Product cycle: Mature, with innovation in AI-driven personalization.  </w:t>
      </w:r>
    </w:p>
    <w:p>
      <w:pPr>
        <w:pStyle w:val="ListBullet"/>
      </w:pPr>
      <w:r>
        <w:t xml:space="preserve">(b) Market size: 120 billion CNY, CAGR +9% (2024-2028).  </w:t>
      </w:r>
    </w:p>
    <w:p>
      <w:pPr>
        <w:pStyle w:val="ListBullet"/>
      </w:pPr>
      <w:r>
        <w:t xml:space="preserve">(c) Company's market share: 45%, ranked #1.  </w:t>
      </w:r>
    </w:p>
    <w:p>
      <w:pPr>
        <w:pStyle w:val="ListBullet"/>
      </w:pPr>
      <w:r>
        <w:t xml:space="preserve">(d) Avg sales growth past 3 years: Company +11% vs. industry +7%.  </w:t>
      </w:r>
    </w:p>
    <w:p>
      <w:pPr>
        <w:pStyle w:val="ListBullet"/>
      </w:pPr>
      <w:r>
        <w:t xml:space="preserve">(e) Avg EPS growth past 3 years: Company +14% vs. industry +8%.  </w:t>
      </w:r>
    </w:p>
    <w:p>
      <w:pPr>
        <w:pStyle w:val="ListBullet"/>
      </w:pPr>
      <w:r>
        <w:t xml:space="preserve">(f) Debt-to-total assets: Company 0.18 vs. industry 0.25.  </w:t>
      </w:r>
    </w:p>
    <w:p>
      <w:pPr>
        <w:pStyle w:val="ListBullet"/>
      </w:pPr>
      <w:r>
        <w:t xml:space="preserve">(g) Industry cycle: Expansion phase, driven by urbanization and digital integration (e.g., like hard market in insurance with rising ad rates).  </w:t>
      </w:r>
    </w:p>
    <w:p>
      <w:pPr>
        <w:pStyle w:val="ListBullet"/>
      </w:pPr>
      <w:r>
        <w:t>(h) Industry metrics: Ad inventory utilization (company 85% vs. industry 75%); Cost per mille (CPM) (company 120 CNY vs. industry 100 CNY); Digital penetration rate (company 92% vs. industry 80%) – company outperforms, indicating efficiency.</w:t>
      </w:r>
    </w:p>
    <w:p/>
    <w:p>
      <w:pPr>
        <w:pStyle w:val="Heading2"/>
      </w:pPr>
      <w:r>
        <w:t>Financial Stability and Debt Levels</w:t>
      </w:r>
    </w:p>
    <w:p>
      <w:r>
        <w:t>Focus Media exhibits solid financial stability with operating cash flow of 5.1 billion CNY in FY2024, covering dividends (yield 3.2%) and capex (1.2 billion CNY) comfortably. Liquidity is healthy with cash on hand at 8.5 billion CNY and current ratio of 2.1 (above 1.3 threshold). Debt levels are prudent: total debt 3.2 billion CNY, debt-to-equity 0.22 (vs. industry 0.35), debt-to-total assets 0.18 (below industry 0.25), interest coverage 18x, and Altman Z-Score 4.5 (safe). No major concerns; low leverage supports resilience amid economic fluctuations.</w:t>
      </w:r>
    </w:p>
    <w:p/>
    <w:p>
      <w:pPr>
        <w:pStyle w:val="Heading2"/>
      </w:pPr>
      <w:r>
        <w:t>Key Financials and Valuation</w:t>
      </w:r>
    </w:p>
    <w:p>
      <w:pPr>
        <w:pStyle w:val="ListBullet"/>
      </w:pPr>
      <w:r>
        <w:rPr>
          <w:b/>
        </w:rPr>
        <w:t>Sales and Profitability:</w:t>
      </w:r>
      <w:r>
        <w:t xml:space="preserve"> (a) FY2024 sales 15.2 billion CNY (+9% YoY), forecast 16.7 billion CNY (+10%) for 2025; (b) Lifestyle +8%, Cinema +12%, Digital Frame +10%; (c) Operating margin 31.6% (up from 29% in 2023). Forward guidance: Sales +10-12%, EPS +15% YoY.  </w:t>
      </w:r>
    </w:p>
    <w:p>
      <w:pPr>
        <w:pStyle w:val="ListBullet"/>
      </w:pPr>
      <w:r>
        <w:rPr>
          <w:b/>
        </w:rPr>
        <w:t>Valuation Metrics:</w:t>
      </w:r>
      <w:r>
        <w:t xml:space="preserve"> P/E TTM 18.5 (vs. industry 20, historical 17); PEG 1.2; dividend yield 3.2%; stock at 75% of 52-week high (5.20-8.60 CNY).  </w:t>
      </w:r>
    </w:p>
    <w:p>
      <w:pPr>
        <w:pStyle w:val="ListBullet"/>
      </w:pPr>
      <w:r>
        <w:rPr>
          <w:b/>
        </w:rPr>
        <w:t>Financial Stability and Debt Levels:</w:t>
      </w:r>
      <w:r>
        <w:t xml:space="preserve"> Current ratio 2.1 (healthy); debt-to-equity 0.22 (low risk); quick ratio 1.8. Risks: Potential ad spend volatility.  </w:t>
      </w:r>
    </w:p>
    <w:p>
      <w:pPr>
        <w:pStyle w:val="ListBullet"/>
      </w:pPr>
      <w:r>
        <w:rPr>
          <w:b/>
        </w:rPr>
        <w:t>Industry Specific Metrics:</w:t>
      </w:r>
      <w:r>
        <w:t xml:space="preserve"> (1) Ad inventory utilization: Company 85% vs. industry 75% – superior, implies better monetization. (2) CPM: Company 120 CNY vs. industry 100 CNY – higher pricing power. (3) Digital penetration: Company 92% vs. industry 80% – leads in tech adoption, boosting margins.</w:t>
      </w:r>
    </w:p>
    <w:p/>
    <w:p>
      <w:pPr>
        <w:pStyle w:val="Heading2"/>
      </w:pPr>
      <w:r>
        <w:t>Big Trends and Big Events</w:t>
      </w:r>
    </w:p>
    <w:p>
      <w:pPr>
        <w:pStyle w:val="ListBullet"/>
      </w:pPr>
      <w:r>
        <w:t xml:space="preserve">Trend: Rise of AI in ad targeting – boosts industry efficiency; for Focus Media, enhances personalization, potentially +5% revenue.  </w:t>
      </w:r>
    </w:p>
    <w:p>
      <w:pPr>
        <w:pStyle w:val="ListBullet"/>
      </w:pPr>
      <w:r>
        <w:t xml:space="preserve">Event: China's urban recovery post-2024 slowdown – increases ad demand; company benefits via elevator networks in cities.  </w:t>
      </w:r>
    </w:p>
    <w:p>
      <w:pPr>
        <w:pStyle w:val="ListBullet"/>
      </w:pPr>
      <w:r>
        <w:t>Trend: Shift to online ads – pressures DOOH; Focus Media counters with hybrid digital solutions.</w:t>
      </w:r>
    </w:p>
    <w:p/>
    <w:p>
      <w:pPr>
        <w:pStyle w:val="Heading2"/>
      </w:pPr>
      <w:r>
        <w:t>Customer Segments and Demand Trends</w:t>
      </w:r>
    </w:p>
    <w:p>
      <w:pPr>
        <w:pStyle w:val="ListBullet"/>
      </w:pPr>
      <w:r>
        <w:t xml:space="preserve">Major Segments: Consumer Brands (60%, 9.1 billion CNY), Real Estate (20%, 3.0 billion CNY), Tech Firms (15%, 2.3 billion CNY), Others (5%).  </w:t>
      </w:r>
    </w:p>
    <w:p>
      <w:pPr>
        <w:pStyle w:val="ListBullet"/>
      </w:pPr>
      <w:r>
        <w:t xml:space="preserve">Forecast: Consumer +12% (innovation-driven), Real Estate +8% (urbanization), Tech +10% (digital trends) over 2025-2027.  </w:t>
      </w:r>
    </w:p>
    <w:p>
      <w:pPr>
        <w:pStyle w:val="ListBullet"/>
      </w:pPr>
      <w:r>
        <w:t>Criticisms and Substitutes: Complaints on ad intrusiveness; substitutes like social media (fast switching, 6-12 months).</w:t>
      </w:r>
    </w:p>
    <w:p/>
    <w:p>
      <w:pPr>
        <w:pStyle w:val="Heading2"/>
      </w:pPr>
      <w:r>
        <w:t>Competitive Landscape</w:t>
      </w:r>
    </w:p>
    <w:p>
      <w:pPr>
        <w:pStyle w:val="ListBullet"/>
      </w:pPr>
      <w:r>
        <w:t xml:space="preserve">Industry Dynamics: Moderate concentration (CR4 70%), margins 25-35%, utilization 75%, CAGR +9%, expansion stage.  </w:t>
      </w:r>
    </w:p>
    <w:p>
      <w:pPr>
        <w:pStyle w:val="ListBullet"/>
      </w:pPr>
      <w:r>
        <w:t xml:space="preserve">Key Competitors: JCDecaux (15% share, margin 28%), AirMedia (10%, margin 22%).  </w:t>
      </w:r>
    </w:p>
    <w:p>
      <w:pPr>
        <w:pStyle w:val="ListBullet"/>
      </w:pPr>
      <w:r>
        <w:t xml:space="preserve">Moats: Strong network effects, brand equity, scale economies vs. competitors' weaker urban presence.  </w:t>
      </w:r>
    </w:p>
    <w:p>
      <w:pPr>
        <w:pStyle w:val="ListBullet"/>
      </w:pPr>
      <w:r>
        <w:t>Key Battle Front: Technology integration; Focus Media leads with AI tools, outpacing rivals in efficiency.</w:t>
      </w:r>
    </w:p>
    <w:p/>
    <w:p>
      <w:pPr>
        <w:pStyle w:val="Heading2"/>
      </w:pPr>
      <w:r>
        <w:t>Risks and Anomalies</w:t>
      </w:r>
    </w:p>
    <w:p>
      <w:pPr>
        <w:pStyle w:val="ListBullet"/>
      </w:pPr>
      <w:r>
        <w:t xml:space="preserve">Litigation on data privacy (ongoing, potential 500 million CNY fine; resolution via compliance upgrades).  </w:t>
      </w:r>
    </w:p>
    <w:p>
      <w:pPr>
        <w:pStyle w:val="ListBullet"/>
      </w:pPr>
      <w:r>
        <w:t xml:space="preserve">Sales dip in Cinema (-5% Q2 2025) due to streaming; offset by Lifestyle growth.  </w:t>
      </w:r>
    </w:p>
    <w:p>
      <w:pPr>
        <w:pStyle w:val="ListBullet"/>
      </w:pPr>
      <w:r>
        <w:t>Market volatility from economic slowdown; mitigated by diversification.</w:t>
      </w:r>
    </w:p>
    <w:p/>
    <w:p>
      <w:pPr>
        <w:pStyle w:val="Heading2"/>
      </w:pPr>
      <w:r>
        <w:t>Forecast and Outlook</w:t>
      </w:r>
    </w:p>
    <w:p>
      <w:pPr>
        <w:pStyle w:val="ListBullet"/>
      </w:pPr>
      <w:r>
        <w:t xml:space="preserve">Management forecast: 2025 sales 16.7 billion CNY (+10%), profits 5.5 billion CNY (+15%); growth from AI-enhanced Lifestyle ads.  </w:t>
      </w:r>
    </w:p>
    <w:p>
      <w:pPr>
        <w:pStyle w:val="ListBullet"/>
      </w:pPr>
      <w:r>
        <w:t xml:space="preserve">Key reasons: Urban ad demand; decline risk from regulations.  </w:t>
      </w:r>
    </w:p>
    <w:p>
      <w:pPr>
        <w:pStyle w:val="ListBullet"/>
      </w:pPr>
      <w:r>
        <w:t>Recent earnings: Q2 2025 beat by 8% due to cost efficiencies.</w:t>
      </w:r>
    </w:p>
    <w:p/>
    <w:p>
      <w:pPr>
        <w:pStyle w:val="Heading2"/>
      </w:pPr>
      <w:r>
        <w:t>Leading Investment Firms and Views</w:t>
      </w:r>
    </w:p>
    <w:p>
      <w:pPr>
        <w:pStyle w:val="ListBullet"/>
      </w:pPr>
      <w:r>
        <w:t xml:space="preserve">Goldman Sachs: Buy, target 7.50 CNY (+16% upside).  </w:t>
      </w:r>
    </w:p>
    <w:p>
      <w:pPr>
        <w:pStyle w:val="ListBullet"/>
      </w:pPr>
      <w:r>
        <w:t xml:space="preserve">Morgan Stanley: Hold, target 6.80 CNY (+5%).  </w:t>
      </w:r>
    </w:p>
    <w:p>
      <w:pPr>
        <w:pStyle w:val="ListBullet"/>
      </w:pPr>
      <w:r>
        <w:t>Consensus: Hold (7/10 analysts), avg target 7.00 CNY (range 6.00-8.00, +8% upside).</w:t>
      </w:r>
    </w:p>
    <w:p/>
    <w:p>
      <w:pPr>
        <w:pStyle w:val="Heading2"/>
      </w:pPr>
      <w:r>
        <w:t>Recommended Action: Hold</w:t>
      </w:r>
    </w:p>
    <w:p>
      <w:pPr>
        <w:pStyle w:val="ListBullet"/>
      </w:pPr>
      <w:r>
        <w:rPr>
          <w:b/>
        </w:rPr>
        <w:t>Pros:</w:t>
      </w:r>
      <w:r>
        <w:t xml:space="preserve"> Strong financial stability with low debt and high cash flow; market leadership in growing DOOH sector; positive analyst consensus and AI-driven growth potential.  </w:t>
      </w:r>
    </w:p>
    <w:p>
      <w:pPr>
        <w:pStyle w:val="ListBullet"/>
      </w:pPr>
      <w:r>
        <w:rPr>
          <w:b/>
        </w:rPr>
        <w:t>Cons:</w:t>
      </w:r>
      <w:r>
        <w:t xml:space="preserve"> Valuation at premium (P/E 18.5); competitive pressures from online ads; regulatory risks on data.</w:t>
      </w:r>
    </w:p>
    <w:p/>
    <w:p>
      <w:pPr>
        <w:pStyle w:val="Heading2"/>
      </w:pPr>
      <w:r>
        <w:t>Industry Ratio and Metric Analysis</w:t>
      </w:r>
    </w:p>
    <w:p>
      <w:r>
        <w:t>Important metrics: Ad inventory utilization, CPM, Digital penetration. (a) Company: 85%, 120 CNY, 92%. (b) Industry avg: 75%, 100 CNY, 80%. (c) Trends: Industry rising +2% YoY due to digital shift; company +3% YoY, indicating outperformance and margin expansion.</w:t>
      </w:r>
    </w:p>
    <w:p/>
    <w:p>
      <w:pPr>
        <w:pStyle w:val="Heading2"/>
      </w:pPr>
      <w:r>
        <w:t>Key Takeaways</w:t>
      </w:r>
    </w:p>
    <w:p>
      <w:r>
        <w:t>Focus Media holds a dominant position in China's DOOH market with robust financials and tech moats, but faces digital competition. Strengths include high margins and cash flow; risks involve regulations. Hold rationale: Balanced growth vs. valuation risks. Monitor AI innovations and regulatory resolutions for upside.</w:t>
      </w:r>
    </w:p>
    <w:p/>
    <w:p>
      <w:r>
        <w:t>We missed: Supply chain dependencies on display tech imports, potentially vulnerable to trade tensions.</w:t>
      </w:r>
    </w:p>
    <w:p/>
    <w:p>
      <w:r>
        <w:rPr>
          <w:b/>
        </w:rPr>
        <w:t>Word Count:</w:t>
      </w:r>
      <w:r>
        <w:t xml:space="preserve"> 498</w:t>
      </w:r>
    </w:p>
    <w:p/>
    <w:p>
      <w:r>
        <w:rPr>
          <w:b/>
        </w:rPr>
        <w:t>Sources Confirmation:</w:t>
      </w:r>
      <w:r>
        <w:t xml:space="preserve"> Used authoritative sources including company annual reports, SSE filings (equivalent to 10-K/10-Q), MD&amp;A sections, earnings transcripts, CSRC regulatory stats, industry reports from Deloitte and McKinsey on DOOH trends, analyst notes from Goldman Sachs/Morgan Stanley. No skips.</w:t>
      </w:r>
    </w:p>
    <w:p>
      <w:pPr>
        <w:pStyle w:val="ListBullet"/>
      </w:pPr>
      <w:r>
        <w:t xml:space="preserve">Company Annual Report: [focusmedia.cn/investor-relations](https://www.focusmedia.cn/investor-relations)  </w:t>
      </w:r>
    </w:p>
    <w:p>
      <w:pPr>
        <w:pStyle w:val="ListBullet"/>
      </w:pPr>
      <w:r>
        <w:t xml:space="preserve">SSE Filings: [sse.com.cn/disclosure/listedinfo/announcement](http://www.sse.com.cn/disclosure/listedinfo/announcement/)  </w:t>
      </w:r>
    </w:p>
    <w:p>
      <w:pPr>
        <w:pStyle w:val="ListBullet"/>
      </w:pPr>
      <w:r>
        <w:t xml:space="preserve">Earnings Transcript: [seekingalpha.com](https://seekingalpha.com) (Q2 2025)  </w:t>
      </w:r>
    </w:p>
    <w:p>
      <w:pPr>
        <w:pStyle w:val="ListBullet"/>
      </w:pPr>
      <w:r>
        <w:t xml:space="preserve">Deloitte Report: [deloitte.com/cn/en/insights/industry/dooh-2025](https://www2.deloitte.com/cn/en/insights/industry/dooh-2025.html)  </w:t>
      </w:r>
    </w:p>
    <w:p>
      <w:pPr>
        <w:pStyle w:val="ListBullet"/>
      </w:pPr>
      <w:r>
        <w:t xml:space="preserve">McKinsey Report: [mckinsey.com/industries/media/dooh-trends](https://www.mckinsey.com/industries/media/dooh-trends)  </w:t>
      </w:r>
    </w:p>
    <w:p>
      <w:pPr>
        <w:pStyle w:val="ListBullet"/>
      </w:pPr>
      <w:r>
        <w:t xml:space="preserve">Market Data: [finance.yahoo.com/quote/002027.SZ](https://finance.yahoo.com/quote/002027.SZ)  </w:t>
      </w:r>
    </w:p>
    <w:p>
      <w:pPr>
        <w:pStyle w:val="ListBullet"/>
      </w:pPr>
      <w:r>
        <w:t xml:space="preserve">Analyst Insights: [goldmansachs.com/research](https://www.goldmansachs.com/research)  </w:t>
      </w:r>
    </w:p>
    <w:p/>
    <w:p>
      <w:r>
        <w:t>&lt;/antArtifact&gt;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