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C58CC" w14:textId="38604D3D" w:rsidR="005B5254" w:rsidRPr="005B5254" w:rsidRDefault="005B5254" w:rsidP="005B5254">
      <w:pPr>
        <w:pStyle w:val="Heading1"/>
        <w:rPr>
          <w:sz w:val="36"/>
          <w:szCs w:val="36"/>
        </w:rPr>
      </w:pPr>
      <w:r w:rsidRPr="005B5254">
        <w:rPr>
          <w:sz w:val="36"/>
          <w:szCs w:val="36"/>
        </w:rPr>
        <w:t xml:space="preserve">Investment Summary: Zhejiang China Commodities City Group Co Ltd (600415.SS) </w:t>
      </w:r>
    </w:p>
    <w:p w14:paraId="68C76C0A" w14:textId="77777777" w:rsidR="005B5254" w:rsidRPr="005B5254" w:rsidRDefault="005B5254" w:rsidP="005B5254">
      <w:pPr>
        <w:pStyle w:val="my-2"/>
        <w:rPr>
          <w:sz w:val="22"/>
          <w:szCs w:val="22"/>
        </w:rPr>
      </w:pPr>
      <w:r w:rsidRPr="005B5254">
        <w:rPr>
          <w:rStyle w:val="Strong"/>
          <w:rFonts w:eastAsiaTheme="majorEastAsia"/>
          <w:sz w:val="22"/>
          <w:szCs w:val="22"/>
        </w:rPr>
        <w:t>Date:</w:t>
      </w:r>
      <w:r w:rsidRPr="005B5254">
        <w:rPr>
          <w:sz w:val="22"/>
          <w:szCs w:val="22"/>
        </w:rPr>
        <w:t xml:space="preserve"> September 5, 2025</w:t>
      </w:r>
      <w:r w:rsidRPr="005B5254">
        <w:rPr>
          <w:sz w:val="22"/>
          <w:szCs w:val="22"/>
        </w:rPr>
        <w:br/>
      </w:r>
      <w:r w:rsidRPr="005B5254">
        <w:rPr>
          <w:rStyle w:val="Strong"/>
          <w:rFonts w:eastAsiaTheme="majorEastAsia"/>
          <w:sz w:val="22"/>
          <w:szCs w:val="22"/>
        </w:rPr>
        <w:t>Stock Price (Sep 4, 2025 close):</w:t>
      </w:r>
      <w:r w:rsidRPr="005B5254">
        <w:rPr>
          <w:sz w:val="22"/>
          <w:szCs w:val="22"/>
        </w:rPr>
        <w:t xml:space="preserve"> 19.46 CNY</w:t>
      </w:r>
      <w:hyperlink r:id="rId5" w:tgtFrame="_blank" w:history="1">
        <w:r w:rsidRPr="005B5254">
          <w:rPr>
            <w:rStyle w:val="relative"/>
            <w:rFonts w:eastAsiaTheme="majorEastAsia"/>
            <w:color w:val="0000FF"/>
            <w:sz w:val="22"/>
            <w:szCs w:val="22"/>
            <w:u w:val="single"/>
          </w:rPr>
          <w:t>valueinvesting</w:t>
        </w:r>
        <w:r w:rsidRPr="005B5254">
          <w:rPr>
            <w:rStyle w:val="opacity-50"/>
            <w:color w:val="0000FF"/>
            <w:sz w:val="22"/>
            <w:szCs w:val="22"/>
            <w:u w:val="single"/>
          </w:rPr>
          <w:t>+1</w:t>
        </w:r>
      </w:hyperlink>
      <w:r w:rsidRPr="005B5254">
        <w:rPr>
          <w:sz w:val="22"/>
          <w:szCs w:val="22"/>
        </w:rPr>
        <w:br/>
      </w:r>
      <w:r w:rsidRPr="005B5254">
        <w:rPr>
          <w:rStyle w:val="Strong"/>
          <w:rFonts w:eastAsiaTheme="majorEastAsia"/>
          <w:sz w:val="22"/>
          <w:szCs w:val="22"/>
        </w:rPr>
        <w:t>Market Cap:</w:t>
      </w:r>
      <w:r w:rsidRPr="005B5254">
        <w:rPr>
          <w:sz w:val="22"/>
          <w:szCs w:val="22"/>
        </w:rPr>
        <w:t xml:space="preserve"> ~105.6 billion </w:t>
      </w:r>
      <w:proofErr w:type="spellStart"/>
      <w:r w:rsidRPr="005B5254">
        <w:rPr>
          <w:sz w:val="22"/>
          <w:szCs w:val="22"/>
        </w:rPr>
        <w:t>CNY</w:t>
      </w:r>
      <w:hyperlink r:id="rId6" w:tgtFrame="_blank" w:history="1">
        <w:r w:rsidRPr="005B5254">
          <w:rPr>
            <w:rStyle w:val="relative"/>
            <w:rFonts w:eastAsiaTheme="majorEastAsia"/>
            <w:color w:val="0000FF"/>
            <w:sz w:val="22"/>
            <w:szCs w:val="22"/>
            <w:u w:val="single"/>
          </w:rPr>
          <w:t>finance.yahoo</w:t>
        </w:r>
        <w:proofErr w:type="spellEnd"/>
      </w:hyperlink>
      <w:r w:rsidRPr="005B5254">
        <w:rPr>
          <w:sz w:val="22"/>
          <w:szCs w:val="22"/>
        </w:rPr>
        <w:br/>
      </w:r>
      <w:r w:rsidRPr="005B5254">
        <w:rPr>
          <w:rStyle w:val="Strong"/>
          <w:rFonts w:eastAsiaTheme="majorEastAsia"/>
          <w:sz w:val="22"/>
          <w:szCs w:val="22"/>
        </w:rPr>
        <w:t>Industry:</w:t>
      </w:r>
      <w:r w:rsidRPr="005B5254">
        <w:rPr>
          <w:sz w:val="22"/>
          <w:szCs w:val="22"/>
        </w:rPr>
        <w:t xml:space="preserve"> Commercial Property Holding &amp; Operation, REITs, Online Trading Platform &amp; Ancillary Services</w:t>
      </w:r>
      <w:hyperlink r:id="rId7" w:tgtFrame="_blank" w:history="1">
        <w:r w:rsidRPr="005B5254">
          <w:rPr>
            <w:rStyle w:val="relative"/>
            <w:rFonts w:eastAsiaTheme="majorEastAsia"/>
            <w:color w:val="0000FF"/>
            <w:sz w:val="22"/>
            <w:szCs w:val="22"/>
            <w:u w:val="single"/>
          </w:rPr>
          <w:t>reuters</w:t>
        </w:r>
        <w:r w:rsidRPr="005B5254">
          <w:rPr>
            <w:rStyle w:val="opacity-50"/>
            <w:color w:val="0000FF"/>
            <w:sz w:val="22"/>
            <w:szCs w:val="22"/>
            <w:u w:val="single"/>
          </w:rPr>
          <w:t>+1</w:t>
        </w:r>
      </w:hyperlink>
      <w:r w:rsidRPr="005B5254">
        <w:rPr>
          <w:sz w:val="22"/>
          <w:szCs w:val="22"/>
        </w:rPr>
        <w:br/>
      </w:r>
      <w:r w:rsidRPr="005B5254">
        <w:rPr>
          <w:rStyle w:val="Strong"/>
          <w:rFonts w:eastAsiaTheme="majorEastAsia"/>
          <w:sz w:val="22"/>
          <w:szCs w:val="22"/>
        </w:rPr>
        <w:t>Recommended Action:</w:t>
      </w:r>
      <w:r w:rsidRPr="005B5254">
        <w:rPr>
          <w:sz w:val="22"/>
          <w:szCs w:val="22"/>
        </w:rPr>
        <w:t xml:space="preserve"> </w:t>
      </w:r>
      <w:r w:rsidRPr="005B5254">
        <w:rPr>
          <w:rStyle w:val="Strong"/>
          <w:rFonts w:eastAsiaTheme="majorEastAsia"/>
          <w:sz w:val="22"/>
          <w:szCs w:val="22"/>
        </w:rPr>
        <w:t>Buy</w:t>
      </w:r>
      <w:r w:rsidRPr="005B5254">
        <w:rPr>
          <w:sz w:val="22"/>
          <w:szCs w:val="22"/>
        </w:rPr>
        <w:t xml:space="preserve"> (consensus)</w:t>
      </w:r>
      <w:hyperlink r:id="rId8" w:tgtFrame="_blank" w:history="1">
        <w:r w:rsidRPr="005B5254">
          <w:rPr>
            <w:rStyle w:val="relative"/>
            <w:rFonts w:eastAsiaTheme="majorEastAsia"/>
            <w:color w:val="0000FF"/>
            <w:sz w:val="22"/>
            <w:szCs w:val="22"/>
            <w:u w:val="single"/>
          </w:rPr>
          <w:t>tradingview</w:t>
        </w:r>
        <w:r w:rsidRPr="005B5254">
          <w:rPr>
            <w:rStyle w:val="opacity-50"/>
            <w:color w:val="0000FF"/>
            <w:sz w:val="22"/>
            <w:szCs w:val="22"/>
            <w:u w:val="single"/>
          </w:rPr>
          <w:t>+2</w:t>
        </w:r>
      </w:hyperlink>
    </w:p>
    <w:p w14:paraId="4588A4FB" w14:textId="77777777" w:rsidR="005B5254" w:rsidRPr="005B5254" w:rsidRDefault="005B5254" w:rsidP="005B5254">
      <w:pPr>
        <w:rPr>
          <w:sz w:val="22"/>
          <w:szCs w:val="22"/>
        </w:rPr>
      </w:pPr>
      <w:r w:rsidRPr="005B5254">
        <w:rPr>
          <w:sz w:val="22"/>
          <w:szCs w:val="22"/>
        </w:rPr>
        <w:pict w14:anchorId="187A2D01">
          <v:rect id="_x0000_i1025" style="width:0;height:1.5pt" o:hralign="center" o:hrstd="t" o:hr="t" fillcolor="#a0a0a0" stroked="f"/>
        </w:pict>
      </w:r>
    </w:p>
    <w:p w14:paraId="262E19DC" w14:textId="77777777" w:rsidR="005B5254" w:rsidRPr="005B5254" w:rsidRDefault="005B5254" w:rsidP="005B5254">
      <w:pPr>
        <w:pStyle w:val="Heading2"/>
        <w:rPr>
          <w:sz w:val="28"/>
          <w:szCs w:val="28"/>
        </w:rPr>
      </w:pPr>
      <w:r w:rsidRPr="005B5254">
        <w:rPr>
          <w:sz w:val="28"/>
          <w:szCs w:val="28"/>
        </w:rPr>
        <w:t>Business Overview</w:t>
      </w:r>
    </w:p>
    <w:p w14:paraId="51A2DD3F" w14:textId="77777777" w:rsidR="005B5254" w:rsidRPr="005B5254" w:rsidRDefault="005B5254" w:rsidP="005B5254">
      <w:pPr>
        <w:pStyle w:val="my-2"/>
        <w:rPr>
          <w:sz w:val="22"/>
          <w:szCs w:val="22"/>
        </w:rPr>
      </w:pPr>
      <w:r w:rsidRPr="005B5254">
        <w:rPr>
          <w:sz w:val="22"/>
          <w:szCs w:val="22"/>
        </w:rPr>
        <w:t>Zhejiang China Commodities City Group Co Ltd ("CCC Group") is China’s leading commercial trading infrastructure enterprise, operating the globally renowned Yiwu International Trade City and related platforms for commodity trading, logistics, and support services. Major business divisions include market operations (stall leasing, trading), integrated trade services (exhibitions, hotels, logistics), and digital/online commerce solutions. FY2024 revenue reached 15.74 billion CNY (up 39% YoY), with market operations contributing 29% of group sales (78% of gross profit), and gross margin at 31%.</w:t>
      </w:r>
      <w:hyperlink r:id="rId9" w:tgtFrame="_blank" w:history="1">
        <w:r w:rsidRPr="005B5254">
          <w:rPr>
            <w:rStyle w:val="relative"/>
            <w:rFonts w:eastAsiaTheme="majorEastAsia"/>
            <w:color w:val="0000FF"/>
            <w:sz w:val="22"/>
            <w:szCs w:val="22"/>
            <w:u w:val="single"/>
          </w:rPr>
          <w:t>ali.spgchinaratings</w:t>
        </w:r>
        <w:r w:rsidRPr="005B5254">
          <w:rPr>
            <w:rStyle w:val="opacity-50"/>
            <w:color w:val="0000FF"/>
            <w:sz w:val="22"/>
            <w:szCs w:val="22"/>
            <w:u w:val="single"/>
          </w:rPr>
          <w:t>+3</w:t>
        </w:r>
      </w:hyperlink>
    </w:p>
    <w:p w14:paraId="700E88EF" w14:textId="77777777" w:rsidR="005B5254" w:rsidRPr="005B5254" w:rsidRDefault="005B5254" w:rsidP="005B5254">
      <w:pPr>
        <w:pStyle w:val="my-2"/>
        <w:rPr>
          <w:sz w:val="22"/>
          <w:szCs w:val="22"/>
        </w:rPr>
      </w:pPr>
      <w:r w:rsidRPr="005B5254">
        <w:rPr>
          <w:rStyle w:val="Strong"/>
          <w:rFonts w:eastAsiaTheme="majorEastAsia"/>
          <w:sz w:val="22"/>
          <w:szCs w:val="22"/>
        </w:rPr>
        <w:t>Product Usage:</w:t>
      </w:r>
    </w:p>
    <w:p w14:paraId="78A82ADD" w14:textId="77777777" w:rsidR="005B5254" w:rsidRPr="005B5254" w:rsidRDefault="005B5254" w:rsidP="005B5254">
      <w:pPr>
        <w:pStyle w:val="my-2"/>
        <w:numPr>
          <w:ilvl w:val="0"/>
          <w:numId w:val="1"/>
        </w:numPr>
        <w:rPr>
          <w:sz w:val="22"/>
          <w:szCs w:val="22"/>
        </w:rPr>
      </w:pPr>
      <w:r w:rsidRPr="005B5254">
        <w:rPr>
          <w:rStyle w:val="Strong"/>
          <w:rFonts w:eastAsiaTheme="majorEastAsia"/>
          <w:sz w:val="22"/>
          <w:szCs w:val="22"/>
        </w:rPr>
        <w:t>Market stall leasing:</w:t>
      </w:r>
      <w:r w:rsidRPr="005B5254">
        <w:rPr>
          <w:sz w:val="22"/>
          <w:szCs w:val="22"/>
        </w:rPr>
        <w:t xml:space="preserve"> Enables SMEs to display and trade goods, supporting their access to global buyers.</w:t>
      </w:r>
    </w:p>
    <w:p w14:paraId="66814BCE" w14:textId="77777777" w:rsidR="005B5254" w:rsidRPr="005B5254" w:rsidRDefault="005B5254" w:rsidP="005B5254">
      <w:pPr>
        <w:pStyle w:val="my-2"/>
        <w:numPr>
          <w:ilvl w:val="0"/>
          <w:numId w:val="1"/>
        </w:numPr>
        <w:rPr>
          <w:sz w:val="22"/>
          <w:szCs w:val="22"/>
        </w:rPr>
      </w:pPr>
      <w:r w:rsidRPr="005B5254">
        <w:rPr>
          <w:rStyle w:val="Strong"/>
          <w:rFonts w:eastAsiaTheme="majorEastAsia"/>
          <w:sz w:val="22"/>
          <w:szCs w:val="22"/>
        </w:rPr>
        <w:t>Online platforms &amp; logistics:</w:t>
      </w:r>
      <w:r w:rsidRPr="005B5254">
        <w:rPr>
          <w:sz w:val="22"/>
          <w:szCs w:val="22"/>
        </w:rPr>
        <w:t xml:space="preserve"> Facilitate cross-border transactions, payments, warehousing, and efficient order </w:t>
      </w:r>
      <w:proofErr w:type="spellStart"/>
      <w:r w:rsidRPr="005B5254">
        <w:rPr>
          <w:sz w:val="22"/>
          <w:szCs w:val="22"/>
        </w:rPr>
        <w:t>fulfillment</w:t>
      </w:r>
      <w:proofErr w:type="spellEnd"/>
      <w:r w:rsidRPr="005B5254">
        <w:rPr>
          <w:sz w:val="22"/>
          <w:szCs w:val="22"/>
        </w:rPr>
        <w:t xml:space="preserve"> for merchants.</w:t>
      </w:r>
      <w:hyperlink r:id="rId10"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094610DB" w14:textId="77777777" w:rsidR="005B5254" w:rsidRPr="005B5254" w:rsidRDefault="005B5254" w:rsidP="005B5254">
      <w:pPr>
        <w:pStyle w:val="my-2"/>
        <w:rPr>
          <w:sz w:val="22"/>
          <w:szCs w:val="22"/>
        </w:rPr>
      </w:pPr>
      <w:r w:rsidRPr="005B5254">
        <w:rPr>
          <w:rStyle w:val="Strong"/>
          <w:rFonts w:eastAsiaTheme="majorEastAsia"/>
          <w:sz w:val="22"/>
          <w:szCs w:val="22"/>
        </w:rPr>
        <w:t>Strengths:</w:t>
      </w:r>
    </w:p>
    <w:p w14:paraId="60014E10" w14:textId="77777777" w:rsidR="005B5254" w:rsidRPr="005B5254" w:rsidRDefault="005B5254" w:rsidP="005B5254">
      <w:pPr>
        <w:pStyle w:val="my-2"/>
        <w:numPr>
          <w:ilvl w:val="0"/>
          <w:numId w:val="2"/>
        </w:numPr>
        <w:rPr>
          <w:sz w:val="22"/>
          <w:szCs w:val="22"/>
        </w:rPr>
      </w:pPr>
      <w:r w:rsidRPr="005B5254">
        <w:rPr>
          <w:sz w:val="22"/>
          <w:szCs w:val="22"/>
        </w:rPr>
        <w:t>Global stature of Yiwu International Trade City</w:t>
      </w:r>
    </w:p>
    <w:p w14:paraId="2D1CB7F8" w14:textId="77777777" w:rsidR="005B5254" w:rsidRPr="005B5254" w:rsidRDefault="005B5254" w:rsidP="005B5254">
      <w:pPr>
        <w:pStyle w:val="my-2"/>
        <w:numPr>
          <w:ilvl w:val="0"/>
          <w:numId w:val="2"/>
        </w:numPr>
        <w:rPr>
          <w:sz w:val="22"/>
          <w:szCs w:val="22"/>
        </w:rPr>
      </w:pPr>
      <w:r w:rsidRPr="005B5254">
        <w:rPr>
          <w:sz w:val="22"/>
          <w:szCs w:val="22"/>
        </w:rPr>
        <w:t>High operational efficiency, strong occupancy (&gt;95%), and brand equity</w:t>
      </w:r>
    </w:p>
    <w:p w14:paraId="41CA7E1C" w14:textId="77777777" w:rsidR="005B5254" w:rsidRPr="005B5254" w:rsidRDefault="005B5254" w:rsidP="005B5254">
      <w:pPr>
        <w:pStyle w:val="my-2"/>
        <w:numPr>
          <w:ilvl w:val="0"/>
          <w:numId w:val="2"/>
        </w:numPr>
        <w:rPr>
          <w:sz w:val="22"/>
          <w:szCs w:val="22"/>
        </w:rPr>
      </w:pPr>
      <w:r w:rsidRPr="005B5254">
        <w:rPr>
          <w:sz w:val="22"/>
          <w:szCs w:val="22"/>
        </w:rPr>
        <w:t>Supportive government relations and low cost of capital</w:t>
      </w:r>
    </w:p>
    <w:p w14:paraId="1054C9EC" w14:textId="77777777" w:rsidR="005B5254" w:rsidRPr="005B5254" w:rsidRDefault="005B5254" w:rsidP="005B5254">
      <w:pPr>
        <w:pStyle w:val="my-2"/>
        <w:rPr>
          <w:sz w:val="22"/>
          <w:szCs w:val="22"/>
        </w:rPr>
      </w:pPr>
      <w:r w:rsidRPr="005B5254">
        <w:rPr>
          <w:rStyle w:val="Strong"/>
          <w:rFonts w:eastAsiaTheme="majorEastAsia"/>
          <w:sz w:val="22"/>
          <w:szCs w:val="22"/>
        </w:rPr>
        <w:t>Challenges:</w:t>
      </w:r>
    </w:p>
    <w:p w14:paraId="1FD31CBB" w14:textId="77777777" w:rsidR="005B5254" w:rsidRPr="005B5254" w:rsidRDefault="005B5254" w:rsidP="005B5254">
      <w:pPr>
        <w:pStyle w:val="my-2"/>
        <w:numPr>
          <w:ilvl w:val="0"/>
          <w:numId w:val="3"/>
        </w:numPr>
        <w:rPr>
          <w:sz w:val="22"/>
          <w:szCs w:val="22"/>
        </w:rPr>
      </w:pPr>
      <w:r w:rsidRPr="005B5254">
        <w:rPr>
          <w:sz w:val="22"/>
          <w:szCs w:val="22"/>
        </w:rPr>
        <w:t>Exposure to global trade volatility and regional market concentration</w:t>
      </w:r>
      <w:hyperlink r:id="rId11" w:tgtFrame="_blank" w:history="1">
        <w:r w:rsidRPr="005B5254">
          <w:rPr>
            <w:rStyle w:val="relative"/>
            <w:rFonts w:eastAsiaTheme="majorEastAsia"/>
            <w:color w:val="0000FF"/>
            <w:sz w:val="22"/>
            <w:szCs w:val="22"/>
            <w:u w:val="single"/>
          </w:rPr>
          <w:t>ali.spgchinaratings</w:t>
        </w:r>
        <w:r w:rsidRPr="005B5254">
          <w:rPr>
            <w:rStyle w:val="opacity-50"/>
            <w:color w:val="0000FF"/>
            <w:sz w:val="22"/>
            <w:szCs w:val="22"/>
            <w:u w:val="single"/>
          </w:rPr>
          <w:t>+1</w:t>
        </w:r>
      </w:hyperlink>
    </w:p>
    <w:p w14:paraId="0101FC0B" w14:textId="77777777" w:rsidR="005B5254" w:rsidRPr="005B5254" w:rsidRDefault="005B5254" w:rsidP="005B5254">
      <w:pPr>
        <w:rPr>
          <w:sz w:val="22"/>
          <w:szCs w:val="22"/>
        </w:rPr>
      </w:pPr>
      <w:r w:rsidRPr="005B5254">
        <w:rPr>
          <w:sz w:val="22"/>
          <w:szCs w:val="22"/>
        </w:rPr>
        <w:pict w14:anchorId="221D34F0">
          <v:rect id="_x0000_i1026" style="width:0;height:1.5pt" o:hralign="center" o:hrstd="t" o:hr="t" fillcolor="#a0a0a0" stroked="f"/>
        </w:pict>
      </w:r>
    </w:p>
    <w:p w14:paraId="442ED7C3" w14:textId="77777777" w:rsidR="005B5254" w:rsidRPr="005B5254" w:rsidRDefault="005B5254" w:rsidP="005B5254">
      <w:pPr>
        <w:pStyle w:val="Heading2"/>
        <w:rPr>
          <w:sz w:val="28"/>
          <w:szCs w:val="28"/>
        </w:rPr>
      </w:pPr>
      <w:r w:rsidRPr="005B5254">
        <w:rPr>
          <w:sz w:val="28"/>
          <w:szCs w:val="28"/>
        </w:rPr>
        <w:t>Business Performance</w:t>
      </w:r>
    </w:p>
    <w:p w14:paraId="54181C4C" w14:textId="77777777" w:rsidR="005B5254" w:rsidRPr="005B5254" w:rsidRDefault="005B5254" w:rsidP="005B5254">
      <w:pPr>
        <w:pStyle w:val="my-2"/>
        <w:numPr>
          <w:ilvl w:val="0"/>
          <w:numId w:val="4"/>
        </w:numPr>
        <w:rPr>
          <w:sz w:val="22"/>
          <w:szCs w:val="22"/>
        </w:rPr>
      </w:pPr>
      <w:r w:rsidRPr="005B5254">
        <w:rPr>
          <w:rStyle w:val="Strong"/>
          <w:rFonts w:eastAsiaTheme="majorEastAsia"/>
          <w:sz w:val="22"/>
          <w:szCs w:val="22"/>
        </w:rPr>
        <w:t>Sales Growth (5 Years):</w:t>
      </w:r>
      <w:r w:rsidRPr="005B5254">
        <w:rPr>
          <w:sz w:val="22"/>
          <w:szCs w:val="22"/>
        </w:rPr>
        <w:t xml:space="preserve"> CAGR ~28%; FY2024 up 39%</w:t>
      </w:r>
      <w:hyperlink r:id="rId12"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3C02675A" w14:textId="77777777" w:rsidR="005B5254" w:rsidRPr="005B5254" w:rsidRDefault="005B5254" w:rsidP="005B5254">
      <w:pPr>
        <w:pStyle w:val="my-2"/>
        <w:numPr>
          <w:ilvl w:val="0"/>
          <w:numId w:val="4"/>
        </w:numPr>
        <w:rPr>
          <w:sz w:val="22"/>
          <w:szCs w:val="22"/>
        </w:rPr>
      </w:pPr>
      <w:r w:rsidRPr="005B5254">
        <w:rPr>
          <w:rStyle w:val="Strong"/>
          <w:rFonts w:eastAsiaTheme="majorEastAsia"/>
          <w:sz w:val="22"/>
          <w:szCs w:val="22"/>
        </w:rPr>
        <w:t>Profit Growth (5 Years):</w:t>
      </w:r>
      <w:r w:rsidRPr="005B5254">
        <w:rPr>
          <w:sz w:val="22"/>
          <w:szCs w:val="22"/>
        </w:rPr>
        <w:t xml:space="preserve"> CAGR ~20%; Net profit FY2024 up 15%</w:t>
      </w:r>
      <w:hyperlink r:id="rId13" w:tgtFrame="_blank" w:history="1">
        <w:r w:rsidRPr="005B5254">
          <w:rPr>
            <w:rStyle w:val="relative"/>
            <w:rFonts w:eastAsiaTheme="majorEastAsia"/>
            <w:color w:val="0000FF"/>
            <w:sz w:val="22"/>
            <w:szCs w:val="22"/>
            <w:u w:val="single"/>
          </w:rPr>
          <w:t>ali.spgchinaratings</w:t>
        </w:r>
        <w:r w:rsidRPr="005B5254">
          <w:rPr>
            <w:rStyle w:val="opacity-50"/>
            <w:color w:val="0000FF"/>
            <w:sz w:val="22"/>
            <w:szCs w:val="22"/>
            <w:u w:val="single"/>
          </w:rPr>
          <w:t>+1</w:t>
        </w:r>
      </w:hyperlink>
    </w:p>
    <w:p w14:paraId="4343B612" w14:textId="77777777" w:rsidR="005B5254" w:rsidRPr="005B5254" w:rsidRDefault="005B5254" w:rsidP="005B5254">
      <w:pPr>
        <w:pStyle w:val="my-2"/>
        <w:numPr>
          <w:ilvl w:val="0"/>
          <w:numId w:val="4"/>
        </w:numPr>
        <w:rPr>
          <w:sz w:val="22"/>
          <w:szCs w:val="22"/>
        </w:rPr>
      </w:pPr>
      <w:r w:rsidRPr="005B5254">
        <w:rPr>
          <w:rStyle w:val="Strong"/>
          <w:rFonts w:eastAsiaTheme="majorEastAsia"/>
          <w:sz w:val="22"/>
          <w:szCs w:val="22"/>
        </w:rPr>
        <w:t>Operating Cash Flow:</w:t>
      </w:r>
      <w:r w:rsidRPr="005B5254">
        <w:rPr>
          <w:sz w:val="22"/>
          <w:szCs w:val="22"/>
        </w:rPr>
        <w:t xml:space="preserve"> Robust growth; FY2024 operating cash inflow 3.7 billion CNY, driven by prepaid stall </w:t>
      </w:r>
      <w:proofErr w:type="spellStart"/>
      <w:r w:rsidRPr="005B5254">
        <w:rPr>
          <w:sz w:val="22"/>
          <w:szCs w:val="22"/>
        </w:rPr>
        <w:t>fees</w:t>
      </w:r>
      <w:hyperlink r:id="rId14" w:tgtFrame="_blank" w:history="1">
        <w:r w:rsidRPr="005B5254">
          <w:rPr>
            <w:rStyle w:val="relative"/>
            <w:rFonts w:eastAsiaTheme="majorEastAsia"/>
            <w:color w:val="0000FF"/>
            <w:sz w:val="22"/>
            <w:szCs w:val="22"/>
            <w:u w:val="single"/>
          </w:rPr>
          <w:t>ali.spgchinaratings</w:t>
        </w:r>
        <w:proofErr w:type="spellEnd"/>
      </w:hyperlink>
    </w:p>
    <w:p w14:paraId="17ACAA3B" w14:textId="77777777" w:rsidR="005B5254" w:rsidRPr="005B5254" w:rsidRDefault="005B5254" w:rsidP="005B5254">
      <w:pPr>
        <w:pStyle w:val="my-2"/>
        <w:numPr>
          <w:ilvl w:val="0"/>
          <w:numId w:val="4"/>
        </w:numPr>
        <w:rPr>
          <w:sz w:val="22"/>
          <w:szCs w:val="22"/>
        </w:rPr>
      </w:pPr>
      <w:r w:rsidRPr="005B5254">
        <w:rPr>
          <w:rStyle w:val="Strong"/>
          <w:rFonts w:eastAsiaTheme="majorEastAsia"/>
          <w:sz w:val="22"/>
          <w:szCs w:val="22"/>
        </w:rPr>
        <w:t>Market Share:</w:t>
      </w:r>
      <w:r w:rsidRPr="005B5254">
        <w:rPr>
          <w:sz w:val="22"/>
          <w:szCs w:val="22"/>
        </w:rPr>
        <w:t xml:space="preserve"> ~15% of China’s commodity </w:t>
      </w:r>
      <w:proofErr w:type="gramStart"/>
      <w:r w:rsidRPr="005B5254">
        <w:rPr>
          <w:sz w:val="22"/>
          <w:szCs w:val="22"/>
        </w:rPr>
        <w:t>market ;</w:t>
      </w:r>
      <w:proofErr w:type="gramEnd"/>
      <w:r w:rsidRPr="005B5254">
        <w:rPr>
          <w:sz w:val="22"/>
          <w:szCs w:val="22"/>
        </w:rPr>
        <w:t xml:space="preserve"> 86% occupancy share in Yiwu</w:t>
      </w:r>
      <w:hyperlink r:id="rId15"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560B5D2B" w14:textId="77777777" w:rsidR="005B5254" w:rsidRPr="005B5254" w:rsidRDefault="005B5254" w:rsidP="005B5254">
      <w:pPr>
        <w:pStyle w:val="my-2"/>
        <w:numPr>
          <w:ilvl w:val="0"/>
          <w:numId w:val="4"/>
        </w:numPr>
        <w:rPr>
          <w:sz w:val="22"/>
          <w:szCs w:val="22"/>
        </w:rPr>
      </w:pPr>
      <w:r w:rsidRPr="005B5254">
        <w:rPr>
          <w:rStyle w:val="Strong"/>
          <w:rFonts w:eastAsiaTheme="majorEastAsia"/>
          <w:sz w:val="22"/>
          <w:szCs w:val="22"/>
        </w:rPr>
        <w:lastRenderedPageBreak/>
        <w:t>Industry Ranking:</w:t>
      </w:r>
      <w:r w:rsidRPr="005B5254">
        <w:rPr>
          <w:sz w:val="22"/>
          <w:szCs w:val="22"/>
        </w:rPr>
        <w:t xml:space="preserve"> #1 in Chinese commodity market platforms</w:t>
      </w:r>
      <w:hyperlink r:id="rId16"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0D021C42" w14:textId="77777777" w:rsidR="005B5254" w:rsidRPr="005B5254" w:rsidRDefault="005B5254" w:rsidP="005B5254">
      <w:pPr>
        <w:rPr>
          <w:sz w:val="22"/>
          <w:szCs w:val="22"/>
        </w:rPr>
      </w:pPr>
      <w:r w:rsidRPr="005B5254">
        <w:rPr>
          <w:sz w:val="22"/>
          <w:szCs w:val="22"/>
        </w:rPr>
        <w:pict w14:anchorId="5584B028">
          <v:rect id="_x0000_i1027" style="width:0;height:1.5pt" o:hralign="center" o:hrstd="t" o:hr="t" fillcolor="#a0a0a0" stroked="f"/>
        </w:pict>
      </w:r>
    </w:p>
    <w:p w14:paraId="2502B717" w14:textId="77777777" w:rsidR="005B5254" w:rsidRPr="005B5254" w:rsidRDefault="005B5254" w:rsidP="005B5254">
      <w:pPr>
        <w:pStyle w:val="Heading2"/>
        <w:rPr>
          <w:sz w:val="28"/>
          <w:szCs w:val="28"/>
        </w:rPr>
      </w:pPr>
      <w:r w:rsidRPr="005B5254">
        <w:rPr>
          <w:sz w:val="28"/>
          <w:szCs w:val="28"/>
        </w:rPr>
        <w:t>Industry Context</w:t>
      </w:r>
    </w:p>
    <w:p w14:paraId="7436C026"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Product Cycle:</w:t>
      </w:r>
      <w:r w:rsidRPr="005B5254">
        <w:rPr>
          <w:sz w:val="22"/>
          <w:szCs w:val="22"/>
        </w:rPr>
        <w:t xml:space="preserve"> Maturing asset base (slower growth/new construction); focus shifting to enhancing existing </w:t>
      </w:r>
      <w:proofErr w:type="spellStart"/>
      <w:r w:rsidRPr="005B5254">
        <w:rPr>
          <w:sz w:val="22"/>
          <w:szCs w:val="22"/>
        </w:rPr>
        <w:t>assets</w:t>
      </w:r>
      <w:hyperlink r:id="rId17" w:tgtFrame="_blank" w:history="1">
        <w:r w:rsidRPr="005B5254">
          <w:rPr>
            <w:rStyle w:val="relative"/>
            <w:rFonts w:eastAsiaTheme="majorEastAsia"/>
            <w:color w:val="0000FF"/>
            <w:sz w:val="22"/>
            <w:szCs w:val="22"/>
            <w:u w:val="single"/>
          </w:rPr>
          <w:t>ali.spgchinaratings</w:t>
        </w:r>
        <w:proofErr w:type="spellEnd"/>
      </w:hyperlink>
    </w:p>
    <w:p w14:paraId="737666FD"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Market Size/Growth:</w:t>
      </w:r>
      <w:r w:rsidRPr="005B5254">
        <w:rPr>
          <w:sz w:val="22"/>
          <w:szCs w:val="22"/>
        </w:rPr>
        <w:t xml:space="preserve"> Estimated annual market turnover 267 billion CNY; CAGR 6-7%</w:t>
      </w:r>
      <w:hyperlink r:id="rId18"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2059FB69"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CCC Group Share:</w:t>
      </w:r>
      <w:r w:rsidRPr="005B5254">
        <w:rPr>
          <w:sz w:val="22"/>
          <w:szCs w:val="22"/>
        </w:rPr>
        <w:t xml:space="preserve"> 15% market share; highest among peers</w:t>
      </w:r>
      <w:hyperlink r:id="rId19" w:tgtFrame="_blank" w:history="1">
        <w:r w:rsidRPr="005B5254">
          <w:rPr>
            <w:rStyle w:val="relative"/>
            <w:rFonts w:eastAsiaTheme="majorEastAsia"/>
            <w:color w:val="0000FF"/>
            <w:sz w:val="22"/>
            <w:szCs w:val="22"/>
            <w:u w:val="single"/>
          </w:rPr>
          <w:t>ali.spgchinaratings</w:t>
        </w:r>
        <w:r w:rsidRPr="005B5254">
          <w:rPr>
            <w:rStyle w:val="opacity-50"/>
            <w:color w:val="0000FF"/>
            <w:sz w:val="22"/>
            <w:szCs w:val="22"/>
            <w:u w:val="single"/>
          </w:rPr>
          <w:t>+1</w:t>
        </w:r>
      </w:hyperlink>
    </w:p>
    <w:p w14:paraId="370EBC98"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Sales Growth vs. Industry:</w:t>
      </w:r>
      <w:r w:rsidRPr="005B5254">
        <w:rPr>
          <w:sz w:val="22"/>
          <w:szCs w:val="22"/>
        </w:rPr>
        <w:t xml:space="preserve"> CCC’s 3-year average annual sales growth (28%) beats sector average (~7%)</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"https://qa.ali.spgchinaratings.cn/en/ratings/pdf/20250617_zhejiang-china-commodities-city-group_en.pdf"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ali.spgchinaratings</w:t>
      </w:r>
      <w:proofErr w:type="spellEnd"/>
      <w:r w:rsidRPr="005B5254">
        <w:rPr>
          <w:rStyle w:val="citation"/>
          <w:rFonts w:eastAsiaTheme="majorEastAsia"/>
          <w:sz w:val="22"/>
          <w:szCs w:val="22"/>
        </w:rPr>
        <w:fldChar w:fldCharType="end"/>
      </w:r>
    </w:p>
    <w:p w14:paraId="4B65D7B4"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EPS Growth:</w:t>
      </w:r>
      <w:r w:rsidRPr="005B5254">
        <w:rPr>
          <w:sz w:val="22"/>
          <w:szCs w:val="22"/>
        </w:rPr>
        <w:t xml:space="preserve"> CCC’s EPS up 30% YoY; industry </w:t>
      </w:r>
      <w:proofErr w:type="spellStart"/>
      <w:r w:rsidRPr="005B5254">
        <w:rPr>
          <w:sz w:val="22"/>
          <w:szCs w:val="22"/>
        </w:rPr>
        <w:t>avg</w:t>
      </w:r>
      <w:proofErr w:type="spellEnd"/>
      <w:r w:rsidRPr="005B5254">
        <w:rPr>
          <w:sz w:val="22"/>
          <w:szCs w:val="22"/>
        </w:rPr>
        <w:t xml:space="preserve"> ~12%</w:t>
      </w:r>
      <w:hyperlink r:id="rId20" w:tgtFrame="_blank" w:history="1">
        <w:r w:rsidRPr="005B5254">
          <w:rPr>
            <w:rStyle w:val="relative"/>
            <w:rFonts w:eastAsiaTheme="majorEastAsia"/>
            <w:color w:val="0000FF"/>
            <w:sz w:val="22"/>
            <w:szCs w:val="22"/>
            <w:u w:val="single"/>
          </w:rPr>
          <w:t>valueinvesting</w:t>
        </w:r>
        <w:r w:rsidRPr="005B5254">
          <w:rPr>
            <w:rStyle w:val="opacity-50"/>
            <w:color w:val="0000FF"/>
            <w:sz w:val="22"/>
            <w:szCs w:val="22"/>
            <w:u w:val="single"/>
          </w:rPr>
          <w:t>+1</w:t>
        </w:r>
      </w:hyperlink>
    </w:p>
    <w:p w14:paraId="1D10EEFB"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Debt-to-Assets:</w:t>
      </w:r>
      <w:r w:rsidRPr="005B5254">
        <w:rPr>
          <w:sz w:val="22"/>
          <w:szCs w:val="22"/>
        </w:rPr>
        <w:t xml:space="preserve"> CCC ~12% (2024); industry </w:t>
      </w:r>
      <w:proofErr w:type="spellStart"/>
      <w:r w:rsidRPr="005B5254">
        <w:rPr>
          <w:sz w:val="22"/>
          <w:szCs w:val="22"/>
        </w:rPr>
        <w:t>avg</w:t>
      </w:r>
      <w:proofErr w:type="spellEnd"/>
      <w:r w:rsidRPr="005B5254">
        <w:rPr>
          <w:sz w:val="22"/>
          <w:szCs w:val="22"/>
        </w:rPr>
        <w:t xml:space="preserve"> ~22%</w:t>
      </w:r>
      <w:hyperlink r:id="rId21" w:tgtFrame="_blank" w:history="1">
        <w:r w:rsidRPr="005B5254">
          <w:rPr>
            <w:rStyle w:val="relative"/>
            <w:rFonts w:eastAsiaTheme="majorEastAsia"/>
            <w:color w:val="0000FF"/>
            <w:sz w:val="22"/>
            <w:szCs w:val="22"/>
            <w:u w:val="single"/>
          </w:rPr>
          <w:t>ali.spgchinaratings</w:t>
        </w:r>
      </w:hyperlink>
    </w:p>
    <w:p w14:paraId="2DACDDD0"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Industry Phase:</w:t>
      </w:r>
      <w:r w:rsidRPr="005B5254">
        <w:rPr>
          <w:sz w:val="22"/>
          <w:szCs w:val="22"/>
        </w:rPr>
        <w:t xml:space="preserve"> Commercial property sector slowing, but wholesale trade/ancillary services </w:t>
      </w:r>
      <w:proofErr w:type="spellStart"/>
      <w:r w:rsidRPr="005B5254">
        <w:rPr>
          <w:sz w:val="22"/>
          <w:szCs w:val="22"/>
        </w:rPr>
        <w:t>expanding</w:t>
      </w:r>
      <w:hyperlink r:id="rId22" w:tgtFrame="_blank" w:history="1">
        <w:r w:rsidRPr="005B5254">
          <w:rPr>
            <w:rStyle w:val="relative"/>
            <w:rFonts w:eastAsiaTheme="majorEastAsia"/>
            <w:color w:val="0000FF"/>
            <w:sz w:val="22"/>
            <w:szCs w:val="22"/>
            <w:u w:val="single"/>
          </w:rPr>
          <w:t>ali.spgchinaratings</w:t>
        </w:r>
        <w:proofErr w:type="spellEnd"/>
      </w:hyperlink>
    </w:p>
    <w:p w14:paraId="5BC64B1A" w14:textId="77777777" w:rsidR="005B5254" w:rsidRPr="005B5254" w:rsidRDefault="005B5254" w:rsidP="005B5254">
      <w:pPr>
        <w:pStyle w:val="my-2"/>
        <w:numPr>
          <w:ilvl w:val="0"/>
          <w:numId w:val="5"/>
        </w:numPr>
        <w:rPr>
          <w:sz w:val="22"/>
          <w:szCs w:val="22"/>
        </w:rPr>
      </w:pPr>
      <w:r w:rsidRPr="005B5254">
        <w:rPr>
          <w:rStyle w:val="Strong"/>
          <w:rFonts w:eastAsiaTheme="majorEastAsia"/>
          <w:sz w:val="22"/>
          <w:szCs w:val="22"/>
        </w:rPr>
        <w:t>Key Metrics:</w:t>
      </w:r>
    </w:p>
    <w:p w14:paraId="613C1CC7" w14:textId="77777777" w:rsidR="005B5254" w:rsidRPr="005B5254" w:rsidRDefault="005B5254" w:rsidP="005B5254">
      <w:pPr>
        <w:pStyle w:val="my-2"/>
        <w:numPr>
          <w:ilvl w:val="1"/>
          <w:numId w:val="5"/>
        </w:numPr>
        <w:rPr>
          <w:sz w:val="22"/>
          <w:szCs w:val="22"/>
        </w:rPr>
      </w:pPr>
      <w:r w:rsidRPr="005B5254">
        <w:rPr>
          <w:rStyle w:val="Strong"/>
          <w:rFonts w:eastAsiaTheme="majorEastAsia"/>
          <w:sz w:val="22"/>
          <w:szCs w:val="22"/>
        </w:rPr>
        <w:t>Occupancy Rate:</w:t>
      </w:r>
      <w:r w:rsidRPr="005B5254">
        <w:rPr>
          <w:sz w:val="22"/>
          <w:szCs w:val="22"/>
        </w:rPr>
        <w:t xml:space="preserve"> CCC &gt;95%; industry 80-85%</w:t>
      </w:r>
    </w:p>
    <w:p w14:paraId="5A28F38E" w14:textId="77777777" w:rsidR="005B5254" w:rsidRPr="005B5254" w:rsidRDefault="005B5254" w:rsidP="005B5254">
      <w:pPr>
        <w:pStyle w:val="my-2"/>
        <w:numPr>
          <w:ilvl w:val="1"/>
          <w:numId w:val="5"/>
        </w:numPr>
        <w:rPr>
          <w:sz w:val="22"/>
          <w:szCs w:val="22"/>
        </w:rPr>
      </w:pPr>
      <w:r w:rsidRPr="005B5254">
        <w:rPr>
          <w:rStyle w:val="Strong"/>
          <w:rFonts w:eastAsiaTheme="majorEastAsia"/>
          <w:sz w:val="22"/>
          <w:szCs w:val="22"/>
        </w:rPr>
        <w:t>EBITDA Margin:</w:t>
      </w:r>
      <w:r w:rsidRPr="005B5254">
        <w:rPr>
          <w:sz w:val="22"/>
          <w:szCs w:val="22"/>
        </w:rPr>
        <w:t xml:space="preserve"> CCC 31%; industry 15-22%</w:t>
      </w:r>
    </w:p>
    <w:p w14:paraId="701472B0" w14:textId="77777777" w:rsidR="005B5254" w:rsidRPr="005B5254" w:rsidRDefault="005B5254" w:rsidP="005B5254">
      <w:pPr>
        <w:pStyle w:val="my-2"/>
        <w:numPr>
          <w:ilvl w:val="1"/>
          <w:numId w:val="5"/>
        </w:numPr>
        <w:rPr>
          <w:sz w:val="22"/>
          <w:szCs w:val="22"/>
        </w:rPr>
      </w:pPr>
      <w:r w:rsidRPr="005B5254">
        <w:rPr>
          <w:rStyle w:val="Strong"/>
          <w:rFonts w:eastAsiaTheme="majorEastAsia"/>
          <w:sz w:val="22"/>
          <w:szCs w:val="22"/>
        </w:rPr>
        <w:t>Prepaid Revenue Ratio:</w:t>
      </w:r>
      <w:r w:rsidRPr="005B5254">
        <w:rPr>
          <w:sz w:val="22"/>
          <w:szCs w:val="22"/>
        </w:rPr>
        <w:t xml:space="preserve"> CCC ~90% of lease revenue prepaid; industry ~60%</w:t>
      </w:r>
      <w:hyperlink r:id="rId23" w:tgtFrame="_blank" w:history="1">
        <w:r w:rsidRPr="005B5254">
          <w:rPr>
            <w:rStyle w:val="relative"/>
            <w:rFonts w:eastAsiaTheme="majorEastAsia"/>
            <w:color w:val="0000FF"/>
            <w:sz w:val="22"/>
            <w:szCs w:val="22"/>
            <w:u w:val="single"/>
          </w:rPr>
          <w:t>ali.spgchinaratings</w:t>
        </w:r>
      </w:hyperlink>
    </w:p>
    <w:p w14:paraId="5B80BD8D" w14:textId="77777777" w:rsidR="005B5254" w:rsidRPr="005B5254" w:rsidRDefault="005B5254" w:rsidP="005B5254">
      <w:pPr>
        <w:rPr>
          <w:sz w:val="22"/>
          <w:szCs w:val="22"/>
        </w:rPr>
      </w:pPr>
      <w:r w:rsidRPr="005B5254">
        <w:rPr>
          <w:sz w:val="22"/>
          <w:szCs w:val="22"/>
        </w:rPr>
        <w:pict w14:anchorId="5E66C79F">
          <v:rect id="_x0000_i1028" style="width:0;height:1.5pt" o:hralign="center" o:hrstd="t" o:hr="t" fillcolor="#a0a0a0" stroked="f"/>
        </w:pict>
      </w:r>
    </w:p>
    <w:p w14:paraId="74F4AE8C" w14:textId="77777777" w:rsidR="005B5254" w:rsidRPr="005B5254" w:rsidRDefault="005B5254" w:rsidP="005B5254">
      <w:pPr>
        <w:pStyle w:val="Heading2"/>
        <w:rPr>
          <w:sz w:val="28"/>
          <w:szCs w:val="28"/>
        </w:rPr>
      </w:pPr>
      <w:r w:rsidRPr="005B5254">
        <w:rPr>
          <w:sz w:val="28"/>
          <w:szCs w:val="28"/>
        </w:rPr>
        <w:t>Financial Stability and Debt Levels</w:t>
      </w:r>
    </w:p>
    <w:p w14:paraId="69D93960" w14:textId="77777777" w:rsidR="005B5254" w:rsidRPr="005B5254" w:rsidRDefault="005B5254" w:rsidP="005B5254">
      <w:pPr>
        <w:pStyle w:val="my-2"/>
        <w:rPr>
          <w:sz w:val="22"/>
          <w:szCs w:val="22"/>
        </w:rPr>
      </w:pPr>
      <w:r w:rsidRPr="005B5254">
        <w:rPr>
          <w:sz w:val="22"/>
          <w:szCs w:val="22"/>
        </w:rPr>
        <w:t xml:space="preserve">CCC maintains </w:t>
      </w:r>
      <w:r w:rsidRPr="005B5254">
        <w:rPr>
          <w:rStyle w:val="Strong"/>
          <w:rFonts w:eastAsiaTheme="majorEastAsia"/>
          <w:sz w:val="22"/>
          <w:szCs w:val="22"/>
        </w:rPr>
        <w:t>minimal financial risk</w:t>
      </w:r>
      <w:r w:rsidRPr="005B5254">
        <w:rPr>
          <w:sz w:val="22"/>
          <w:szCs w:val="22"/>
        </w:rPr>
        <w:t xml:space="preserve">, supported by low leverage (Debt/EBITDA 1.0x), ample liquidity (unused credit lines ~4.95 billion CNY), strong cash flows, and high coverage (EBITDA interest coverage 13.6x). Dividend payouts remain high (~2 billion CNY annually), with capital expenditure controlled (1-2 billion CNY/year). Altman Z Score and sector ratios signal strong financial </w:t>
      </w:r>
      <w:proofErr w:type="spellStart"/>
      <w:r w:rsidRPr="005B5254">
        <w:rPr>
          <w:sz w:val="22"/>
          <w:szCs w:val="22"/>
        </w:rPr>
        <w:t>health.</w:t>
      </w:r>
      <w:hyperlink r:id="rId24" w:tgtFrame="_blank" w:history="1">
        <w:r w:rsidRPr="005B5254">
          <w:rPr>
            <w:rStyle w:val="relative"/>
            <w:rFonts w:eastAsiaTheme="majorEastAsia"/>
            <w:color w:val="0000FF"/>
            <w:sz w:val="22"/>
            <w:szCs w:val="22"/>
            <w:u w:val="single"/>
          </w:rPr>
          <w:t>ali.spgchinaratings</w:t>
        </w:r>
        <w:proofErr w:type="spellEnd"/>
      </w:hyperlink>
      <w:r w:rsidRPr="005B5254">
        <w:rPr>
          <w:sz w:val="22"/>
          <w:szCs w:val="22"/>
        </w:rPr>
        <w:br/>
      </w:r>
      <w:r w:rsidRPr="005B5254">
        <w:rPr>
          <w:rStyle w:val="Strong"/>
          <w:rFonts w:eastAsiaTheme="majorEastAsia"/>
          <w:sz w:val="22"/>
          <w:szCs w:val="22"/>
        </w:rPr>
        <w:t>Current Ratio: &gt;1.3</w:t>
      </w:r>
      <w:r w:rsidRPr="005B5254">
        <w:rPr>
          <w:sz w:val="22"/>
          <w:szCs w:val="22"/>
        </w:rPr>
        <w:t xml:space="preserve"> (healthy), Debt/Equity: </w:t>
      </w:r>
      <w:proofErr w:type="spellStart"/>
      <w:r w:rsidRPr="005B5254">
        <w:rPr>
          <w:sz w:val="22"/>
          <w:szCs w:val="22"/>
        </w:rPr>
        <w:t>low.</w:t>
      </w:r>
      <w:hyperlink r:id="rId25" w:tgtFrame="_blank" w:history="1">
        <w:r w:rsidRPr="005B5254">
          <w:rPr>
            <w:rStyle w:val="relative"/>
            <w:rFonts w:eastAsiaTheme="majorEastAsia"/>
            <w:color w:val="0000FF"/>
            <w:sz w:val="22"/>
            <w:szCs w:val="22"/>
            <w:u w:val="single"/>
          </w:rPr>
          <w:t>ali.spgchinaratings</w:t>
        </w:r>
        <w:proofErr w:type="spellEnd"/>
      </w:hyperlink>
    </w:p>
    <w:p w14:paraId="4D7B1647" w14:textId="77777777" w:rsidR="005B5254" w:rsidRPr="005B5254" w:rsidRDefault="005B5254" w:rsidP="005B5254">
      <w:pPr>
        <w:rPr>
          <w:sz w:val="22"/>
          <w:szCs w:val="22"/>
        </w:rPr>
      </w:pPr>
      <w:r w:rsidRPr="005B5254">
        <w:rPr>
          <w:sz w:val="22"/>
          <w:szCs w:val="22"/>
        </w:rPr>
        <w:pict w14:anchorId="2804F77B">
          <v:rect id="_x0000_i1029" style="width:0;height:1.5pt" o:hralign="center" o:hrstd="t" o:hr="t" fillcolor="#a0a0a0" stroked="f"/>
        </w:pict>
      </w:r>
    </w:p>
    <w:p w14:paraId="06128C0C" w14:textId="77777777" w:rsidR="005B5254" w:rsidRPr="005B5254" w:rsidRDefault="005B5254" w:rsidP="005B5254">
      <w:pPr>
        <w:pStyle w:val="Heading2"/>
        <w:rPr>
          <w:sz w:val="28"/>
          <w:szCs w:val="28"/>
        </w:rPr>
      </w:pPr>
      <w:r w:rsidRPr="005B5254">
        <w:rPr>
          <w:sz w:val="28"/>
          <w:szCs w:val="28"/>
        </w:rPr>
        <w:t>Key Financials &amp; Valuation</w:t>
      </w:r>
    </w:p>
    <w:p w14:paraId="10934B34"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FY2024 Revenue/Net Income:</w:t>
      </w:r>
      <w:r w:rsidRPr="005B5254">
        <w:rPr>
          <w:sz w:val="22"/>
          <w:szCs w:val="22"/>
        </w:rPr>
        <w:t xml:space="preserve"> 15.74B/3.45B CNY, up 39%/15% YoY</w:t>
      </w:r>
      <w:hyperlink r:id="rId26" w:tgtFrame="_blank" w:history="1">
        <w:r w:rsidRPr="005B5254">
          <w:rPr>
            <w:rStyle w:val="relative"/>
            <w:rFonts w:eastAsiaTheme="majorEastAsia"/>
            <w:color w:val="0000FF"/>
            <w:sz w:val="22"/>
            <w:szCs w:val="22"/>
            <w:u w:val="single"/>
          </w:rPr>
          <w:t>valueinvesting</w:t>
        </w:r>
        <w:r w:rsidRPr="005B5254">
          <w:rPr>
            <w:rStyle w:val="opacity-50"/>
            <w:color w:val="0000FF"/>
            <w:sz w:val="22"/>
            <w:szCs w:val="22"/>
            <w:u w:val="single"/>
          </w:rPr>
          <w:t>+2</w:t>
        </w:r>
      </w:hyperlink>
    </w:p>
    <w:p w14:paraId="7DB8CF1F"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Operating Profit:</w:t>
      </w:r>
      <w:r w:rsidRPr="005B5254">
        <w:rPr>
          <w:sz w:val="22"/>
          <w:szCs w:val="22"/>
        </w:rPr>
        <w:t xml:space="preserve"> 4.91B CNY; Margin: 31%</w:t>
      </w:r>
      <w:hyperlink r:id="rId27" w:tgtFrame="_blank" w:history="1">
        <w:r w:rsidRPr="005B5254">
          <w:rPr>
            <w:rStyle w:val="relative"/>
            <w:rFonts w:eastAsiaTheme="majorEastAsia"/>
            <w:color w:val="0000FF"/>
            <w:sz w:val="22"/>
            <w:szCs w:val="22"/>
            <w:u w:val="single"/>
          </w:rPr>
          <w:t>ali.spgchinaratings</w:t>
        </w:r>
      </w:hyperlink>
    </w:p>
    <w:p w14:paraId="35EED22C"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FY2025 Guidance:</w:t>
      </w:r>
      <w:r w:rsidRPr="005B5254">
        <w:rPr>
          <w:sz w:val="22"/>
          <w:szCs w:val="22"/>
        </w:rPr>
        <w:t xml:space="preserve"> Revenue flat to +5%, with significant jump in FY2026 from digital </w:t>
      </w:r>
      <w:proofErr w:type="spellStart"/>
      <w:r w:rsidRPr="005B5254">
        <w:rPr>
          <w:sz w:val="22"/>
          <w:szCs w:val="22"/>
        </w:rPr>
        <w:t>center</w:t>
      </w:r>
      <w:proofErr w:type="spellEnd"/>
      <w:r w:rsidRPr="005B5254">
        <w:rPr>
          <w:sz w:val="22"/>
          <w:szCs w:val="22"/>
        </w:rPr>
        <w:t xml:space="preserve"> </w:t>
      </w:r>
      <w:proofErr w:type="spellStart"/>
      <w:r w:rsidRPr="005B5254">
        <w:rPr>
          <w:sz w:val="22"/>
          <w:szCs w:val="22"/>
        </w:rPr>
        <w:t>project</w:t>
      </w:r>
      <w:hyperlink r:id="rId28" w:tgtFrame="_blank" w:history="1">
        <w:r w:rsidRPr="005B5254">
          <w:rPr>
            <w:rStyle w:val="relative"/>
            <w:rFonts w:eastAsiaTheme="majorEastAsia"/>
            <w:color w:val="0000FF"/>
            <w:sz w:val="22"/>
            <w:szCs w:val="22"/>
            <w:u w:val="single"/>
          </w:rPr>
          <w:t>ali.spgchinaratings</w:t>
        </w:r>
        <w:proofErr w:type="spellEnd"/>
      </w:hyperlink>
    </w:p>
    <w:p w14:paraId="2601A9D8"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P/E (TTM):</w:t>
      </w:r>
      <w:r w:rsidRPr="005B5254">
        <w:rPr>
          <w:sz w:val="22"/>
          <w:szCs w:val="22"/>
        </w:rPr>
        <w:t xml:space="preserve"> 29.7x; vs. industry </w:t>
      </w:r>
      <w:proofErr w:type="spellStart"/>
      <w:r w:rsidRPr="005B5254">
        <w:rPr>
          <w:sz w:val="22"/>
          <w:szCs w:val="22"/>
        </w:rPr>
        <w:t>avg</w:t>
      </w:r>
      <w:proofErr w:type="spellEnd"/>
      <w:r w:rsidRPr="005B5254">
        <w:rPr>
          <w:sz w:val="22"/>
          <w:szCs w:val="22"/>
        </w:rPr>
        <w:t xml:space="preserve"> 39.4x</w:t>
      </w:r>
      <w:hyperlink r:id="rId29" w:tgtFrame="_blank" w:history="1">
        <w:r w:rsidRPr="005B5254">
          <w:rPr>
            <w:rStyle w:val="relative"/>
            <w:rFonts w:eastAsiaTheme="majorEastAsia"/>
            <w:color w:val="0000FF"/>
            <w:sz w:val="22"/>
            <w:szCs w:val="22"/>
            <w:u w:val="single"/>
          </w:rPr>
          <w:t>investing</w:t>
        </w:r>
      </w:hyperlink>
    </w:p>
    <w:p w14:paraId="28DD7E5D"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PEG:</w:t>
      </w:r>
      <w:r w:rsidRPr="005B5254">
        <w:rPr>
          <w:sz w:val="22"/>
          <w:szCs w:val="22"/>
        </w:rPr>
        <w:t xml:space="preserve"> 0.63; </w:t>
      </w:r>
      <w:proofErr w:type="spellStart"/>
      <w:r w:rsidRPr="005B5254">
        <w:rPr>
          <w:sz w:val="22"/>
          <w:szCs w:val="22"/>
        </w:rPr>
        <w:t>favorable</w:t>
      </w:r>
      <w:proofErr w:type="spellEnd"/>
      <w:r w:rsidRPr="005B5254">
        <w:rPr>
          <w:sz w:val="22"/>
          <w:szCs w:val="22"/>
        </w:rPr>
        <w:t xml:space="preserve"> vs. sector </w:t>
      </w:r>
      <w:proofErr w:type="spellStart"/>
      <w:r w:rsidRPr="005B5254">
        <w:rPr>
          <w:sz w:val="22"/>
          <w:szCs w:val="22"/>
        </w:rPr>
        <w:t>avg</w:t>
      </w:r>
      <w:hyperlink r:id="rId30" w:tgtFrame="_blank" w:history="1">
        <w:r w:rsidRPr="005B5254">
          <w:rPr>
            <w:rStyle w:val="relative"/>
            <w:rFonts w:eastAsiaTheme="majorEastAsia"/>
            <w:color w:val="0000FF"/>
            <w:sz w:val="22"/>
            <w:szCs w:val="22"/>
            <w:u w:val="single"/>
          </w:rPr>
          <w:t>investing</w:t>
        </w:r>
        <w:proofErr w:type="spellEnd"/>
      </w:hyperlink>
    </w:p>
    <w:p w14:paraId="544586C8"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Dividend Yield:</w:t>
      </w:r>
      <w:r w:rsidRPr="005B5254">
        <w:rPr>
          <w:sz w:val="22"/>
          <w:szCs w:val="22"/>
        </w:rPr>
        <w:t xml:space="preserve"> ~2.6%</w:t>
      </w:r>
      <w:hyperlink r:id="rId31" w:tgtFrame="_blank" w:history="1">
        <w:r w:rsidRPr="005B5254">
          <w:rPr>
            <w:rStyle w:val="relative"/>
            <w:rFonts w:eastAsiaTheme="majorEastAsia"/>
            <w:color w:val="0000FF"/>
            <w:sz w:val="22"/>
            <w:szCs w:val="22"/>
            <w:u w:val="single"/>
          </w:rPr>
          <w:t>money.finance.sina</w:t>
        </w:r>
        <w:r w:rsidRPr="005B5254">
          <w:rPr>
            <w:rStyle w:val="opacity-50"/>
            <w:color w:val="0000FF"/>
            <w:sz w:val="22"/>
            <w:szCs w:val="22"/>
            <w:u w:val="single"/>
          </w:rPr>
          <w:t>+1</w:t>
        </w:r>
      </w:hyperlink>
    </w:p>
    <w:p w14:paraId="0A508E10" w14:textId="77777777" w:rsidR="005B5254" w:rsidRPr="005B5254" w:rsidRDefault="005B5254" w:rsidP="005B5254">
      <w:pPr>
        <w:pStyle w:val="my-2"/>
        <w:numPr>
          <w:ilvl w:val="0"/>
          <w:numId w:val="6"/>
        </w:numPr>
        <w:rPr>
          <w:sz w:val="22"/>
          <w:szCs w:val="22"/>
        </w:rPr>
      </w:pPr>
      <w:r w:rsidRPr="005B5254">
        <w:rPr>
          <w:rStyle w:val="Strong"/>
          <w:rFonts w:eastAsiaTheme="majorEastAsia"/>
          <w:sz w:val="22"/>
          <w:szCs w:val="22"/>
        </w:rPr>
        <w:t>Stock Range:</w:t>
      </w:r>
      <w:r w:rsidRPr="005B5254">
        <w:rPr>
          <w:sz w:val="22"/>
          <w:szCs w:val="22"/>
        </w:rPr>
        <w:t xml:space="preserve"> Currently near 52-week midpoint, consensus target (next 12m) 22–25 CNY (upside 12–27%)</w:t>
      </w:r>
      <w:hyperlink r:id="rId32" w:tgtFrame="_blank" w:history="1">
        <w:r w:rsidRPr="005B5254">
          <w:rPr>
            <w:rStyle w:val="relative"/>
            <w:rFonts w:eastAsiaTheme="majorEastAsia"/>
            <w:color w:val="0000FF"/>
            <w:sz w:val="22"/>
            <w:szCs w:val="22"/>
            <w:u w:val="single"/>
          </w:rPr>
          <w:t>tradingview</w:t>
        </w:r>
        <w:r w:rsidRPr="005B5254">
          <w:rPr>
            <w:rStyle w:val="opacity-50"/>
            <w:color w:val="0000FF"/>
            <w:sz w:val="22"/>
            <w:szCs w:val="22"/>
            <w:u w:val="single"/>
          </w:rPr>
          <w:t>+1</w:t>
        </w:r>
      </w:hyperlink>
    </w:p>
    <w:p w14:paraId="4F66A266" w14:textId="77777777" w:rsidR="005B5254" w:rsidRPr="005B5254" w:rsidRDefault="005B5254" w:rsidP="005B5254">
      <w:pPr>
        <w:pStyle w:val="my-2"/>
        <w:rPr>
          <w:sz w:val="22"/>
          <w:szCs w:val="22"/>
        </w:rPr>
      </w:pPr>
      <w:r w:rsidRPr="005B5254">
        <w:rPr>
          <w:rStyle w:val="Strong"/>
          <w:rFonts w:eastAsiaTheme="majorEastAsia"/>
          <w:sz w:val="22"/>
          <w:szCs w:val="22"/>
        </w:rPr>
        <w:t>Industry-Specific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187"/>
        <w:gridCol w:w="1292"/>
        <w:gridCol w:w="3047"/>
      </w:tblGrid>
      <w:tr w:rsidR="005B5254" w:rsidRPr="005B5254" w14:paraId="11BDA09C" w14:textId="77777777">
        <w:trPr>
          <w:tblHeader/>
          <w:tblCellSpacing w:w="15" w:type="dxa"/>
        </w:trPr>
        <w:tc>
          <w:tcPr>
            <w:tcW w:w="0" w:type="auto"/>
            <w:vAlign w:val="center"/>
            <w:hideMark/>
          </w:tcPr>
          <w:p w14:paraId="2F7111CD" w14:textId="77777777" w:rsidR="005B5254" w:rsidRPr="005B5254" w:rsidRDefault="005B5254">
            <w:pPr>
              <w:jc w:val="center"/>
              <w:rPr>
                <w:b/>
                <w:bCs/>
                <w:sz w:val="22"/>
                <w:szCs w:val="22"/>
              </w:rPr>
            </w:pPr>
            <w:r w:rsidRPr="005B5254">
              <w:rPr>
                <w:b/>
                <w:bCs/>
                <w:sz w:val="22"/>
                <w:szCs w:val="22"/>
              </w:rPr>
              <w:lastRenderedPageBreak/>
              <w:t>Metric</w:t>
            </w:r>
          </w:p>
        </w:tc>
        <w:tc>
          <w:tcPr>
            <w:tcW w:w="0" w:type="auto"/>
            <w:vAlign w:val="center"/>
            <w:hideMark/>
          </w:tcPr>
          <w:p w14:paraId="1FC4AAC9" w14:textId="77777777" w:rsidR="005B5254" w:rsidRPr="005B5254" w:rsidRDefault="005B5254">
            <w:pPr>
              <w:jc w:val="center"/>
              <w:rPr>
                <w:b/>
                <w:bCs/>
                <w:sz w:val="22"/>
                <w:szCs w:val="22"/>
              </w:rPr>
            </w:pPr>
            <w:r w:rsidRPr="005B5254">
              <w:rPr>
                <w:b/>
                <w:bCs/>
                <w:sz w:val="22"/>
                <w:szCs w:val="22"/>
              </w:rPr>
              <w:t>CCC Group</w:t>
            </w:r>
          </w:p>
        </w:tc>
        <w:tc>
          <w:tcPr>
            <w:tcW w:w="0" w:type="auto"/>
            <w:vAlign w:val="center"/>
            <w:hideMark/>
          </w:tcPr>
          <w:p w14:paraId="56D8952B" w14:textId="77777777" w:rsidR="005B5254" w:rsidRPr="005B5254" w:rsidRDefault="005B5254">
            <w:pPr>
              <w:jc w:val="center"/>
              <w:rPr>
                <w:b/>
                <w:bCs/>
                <w:sz w:val="22"/>
                <w:szCs w:val="22"/>
              </w:rPr>
            </w:pPr>
            <w:r w:rsidRPr="005B5254">
              <w:rPr>
                <w:b/>
                <w:bCs/>
                <w:sz w:val="22"/>
                <w:szCs w:val="22"/>
              </w:rPr>
              <w:t xml:space="preserve">Industry </w:t>
            </w:r>
            <w:proofErr w:type="spellStart"/>
            <w:r w:rsidRPr="005B5254">
              <w:rPr>
                <w:b/>
                <w:bCs/>
                <w:sz w:val="22"/>
                <w:szCs w:val="22"/>
              </w:rPr>
              <w:t>Avg</w:t>
            </w:r>
            <w:proofErr w:type="spellEnd"/>
          </w:p>
        </w:tc>
        <w:tc>
          <w:tcPr>
            <w:tcW w:w="0" w:type="auto"/>
            <w:vAlign w:val="center"/>
            <w:hideMark/>
          </w:tcPr>
          <w:p w14:paraId="4DDF7CA5" w14:textId="77777777" w:rsidR="005B5254" w:rsidRPr="005B5254" w:rsidRDefault="005B5254">
            <w:pPr>
              <w:jc w:val="center"/>
              <w:rPr>
                <w:b/>
                <w:bCs/>
                <w:sz w:val="22"/>
                <w:szCs w:val="22"/>
              </w:rPr>
            </w:pPr>
            <w:r w:rsidRPr="005B5254">
              <w:rPr>
                <w:b/>
                <w:bCs/>
                <w:sz w:val="22"/>
                <w:szCs w:val="22"/>
              </w:rPr>
              <w:t>Rating/Observation</w:t>
            </w:r>
          </w:p>
        </w:tc>
      </w:tr>
      <w:tr w:rsidR="005B5254" w:rsidRPr="005B5254" w14:paraId="0994A123" w14:textId="77777777">
        <w:trPr>
          <w:tblCellSpacing w:w="15" w:type="dxa"/>
        </w:trPr>
        <w:tc>
          <w:tcPr>
            <w:tcW w:w="0" w:type="auto"/>
            <w:vAlign w:val="center"/>
            <w:hideMark/>
          </w:tcPr>
          <w:p w14:paraId="32C72BE8" w14:textId="77777777" w:rsidR="005B5254" w:rsidRPr="005B5254" w:rsidRDefault="005B5254">
            <w:pPr>
              <w:rPr>
                <w:sz w:val="22"/>
                <w:szCs w:val="22"/>
              </w:rPr>
            </w:pPr>
            <w:r w:rsidRPr="005B5254">
              <w:rPr>
                <w:sz w:val="22"/>
                <w:szCs w:val="22"/>
              </w:rPr>
              <w:t>Occupancy Rate</w:t>
            </w:r>
          </w:p>
        </w:tc>
        <w:tc>
          <w:tcPr>
            <w:tcW w:w="0" w:type="auto"/>
            <w:vAlign w:val="center"/>
            <w:hideMark/>
          </w:tcPr>
          <w:p w14:paraId="1DEC35B4" w14:textId="77777777" w:rsidR="005B5254" w:rsidRPr="005B5254" w:rsidRDefault="005B5254">
            <w:pPr>
              <w:rPr>
                <w:sz w:val="22"/>
                <w:szCs w:val="22"/>
              </w:rPr>
            </w:pPr>
            <w:r w:rsidRPr="005B5254">
              <w:rPr>
                <w:sz w:val="22"/>
                <w:szCs w:val="22"/>
              </w:rPr>
              <w:t>&gt;95%</w:t>
            </w:r>
          </w:p>
        </w:tc>
        <w:tc>
          <w:tcPr>
            <w:tcW w:w="0" w:type="auto"/>
            <w:vAlign w:val="center"/>
            <w:hideMark/>
          </w:tcPr>
          <w:p w14:paraId="09D50CBE" w14:textId="77777777" w:rsidR="005B5254" w:rsidRPr="005B5254" w:rsidRDefault="005B5254">
            <w:pPr>
              <w:rPr>
                <w:sz w:val="22"/>
                <w:szCs w:val="22"/>
              </w:rPr>
            </w:pPr>
            <w:r w:rsidRPr="005B5254">
              <w:rPr>
                <w:sz w:val="22"/>
                <w:szCs w:val="22"/>
              </w:rPr>
              <w:t>~85%</w:t>
            </w:r>
          </w:p>
        </w:tc>
        <w:tc>
          <w:tcPr>
            <w:tcW w:w="0" w:type="auto"/>
            <w:vAlign w:val="center"/>
            <w:hideMark/>
          </w:tcPr>
          <w:p w14:paraId="4D567A0A" w14:textId="77777777" w:rsidR="005B5254" w:rsidRPr="005B5254" w:rsidRDefault="005B5254">
            <w:pPr>
              <w:rPr>
                <w:sz w:val="22"/>
                <w:szCs w:val="22"/>
              </w:rPr>
            </w:pPr>
            <w:r w:rsidRPr="005B5254">
              <w:rPr>
                <w:sz w:val="22"/>
                <w:szCs w:val="22"/>
              </w:rPr>
              <w:t>Superior</w:t>
            </w:r>
          </w:p>
        </w:tc>
      </w:tr>
      <w:tr w:rsidR="005B5254" w:rsidRPr="005B5254" w14:paraId="280F3EAE" w14:textId="77777777">
        <w:trPr>
          <w:tblCellSpacing w:w="15" w:type="dxa"/>
        </w:trPr>
        <w:tc>
          <w:tcPr>
            <w:tcW w:w="0" w:type="auto"/>
            <w:vAlign w:val="center"/>
            <w:hideMark/>
          </w:tcPr>
          <w:p w14:paraId="25F6647A" w14:textId="77777777" w:rsidR="005B5254" w:rsidRPr="005B5254" w:rsidRDefault="005B5254">
            <w:pPr>
              <w:rPr>
                <w:sz w:val="22"/>
                <w:szCs w:val="22"/>
              </w:rPr>
            </w:pPr>
            <w:r w:rsidRPr="005B5254">
              <w:rPr>
                <w:sz w:val="22"/>
                <w:szCs w:val="22"/>
              </w:rPr>
              <w:t>EBITDA Margin</w:t>
            </w:r>
          </w:p>
        </w:tc>
        <w:tc>
          <w:tcPr>
            <w:tcW w:w="0" w:type="auto"/>
            <w:vAlign w:val="center"/>
            <w:hideMark/>
          </w:tcPr>
          <w:p w14:paraId="78796EF7" w14:textId="77777777" w:rsidR="005B5254" w:rsidRPr="005B5254" w:rsidRDefault="005B5254">
            <w:pPr>
              <w:rPr>
                <w:sz w:val="22"/>
                <w:szCs w:val="22"/>
              </w:rPr>
            </w:pPr>
            <w:r w:rsidRPr="005B5254">
              <w:rPr>
                <w:sz w:val="22"/>
                <w:szCs w:val="22"/>
              </w:rPr>
              <w:t>31%</w:t>
            </w:r>
          </w:p>
        </w:tc>
        <w:tc>
          <w:tcPr>
            <w:tcW w:w="0" w:type="auto"/>
            <w:vAlign w:val="center"/>
            <w:hideMark/>
          </w:tcPr>
          <w:p w14:paraId="65A2E0FB" w14:textId="77777777" w:rsidR="005B5254" w:rsidRPr="005B5254" w:rsidRDefault="005B5254">
            <w:pPr>
              <w:rPr>
                <w:sz w:val="22"/>
                <w:szCs w:val="22"/>
              </w:rPr>
            </w:pPr>
            <w:r w:rsidRPr="005B5254">
              <w:rPr>
                <w:sz w:val="22"/>
                <w:szCs w:val="22"/>
              </w:rPr>
              <w:t>15-22%</w:t>
            </w:r>
          </w:p>
        </w:tc>
        <w:tc>
          <w:tcPr>
            <w:tcW w:w="0" w:type="auto"/>
            <w:vAlign w:val="center"/>
            <w:hideMark/>
          </w:tcPr>
          <w:p w14:paraId="349DE2B6" w14:textId="77777777" w:rsidR="005B5254" w:rsidRPr="005B5254" w:rsidRDefault="005B5254">
            <w:pPr>
              <w:rPr>
                <w:sz w:val="22"/>
                <w:szCs w:val="22"/>
              </w:rPr>
            </w:pPr>
            <w:r w:rsidRPr="005B5254">
              <w:rPr>
                <w:sz w:val="22"/>
                <w:szCs w:val="22"/>
              </w:rPr>
              <w:t>Superior</w:t>
            </w:r>
          </w:p>
        </w:tc>
      </w:tr>
      <w:tr w:rsidR="005B5254" w:rsidRPr="005B5254" w14:paraId="0CB4FFEE" w14:textId="77777777">
        <w:trPr>
          <w:tblCellSpacing w:w="15" w:type="dxa"/>
        </w:trPr>
        <w:tc>
          <w:tcPr>
            <w:tcW w:w="0" w:type="auto"/>
            <w:vAlign w:val="center"/>
            <w:hideMark/>
          </w:tcPr>
          <w:p w14:paraId="6BE45587" w14:textId="77777777" w:rsidR="005B5254" w:rsidRPr="005B5254" w:rsidRDefault="005B5254">
            <w:pPr>
              <w:rPr>
                <w:sz w:val="22"/>
                <w:szCs w:val="22"/>
              </w:rPr>
            </w:pPr>
            <w:r w:rsidRPr="005B5254">
              <w:rPr>
                <w:sz w:val="22"/>
                <w:szCs w:val="22"/>
              </w:rPr>
              <w:t>Prepaid Revenue</w:t>
            </w:r>
          </w:p>
        </w:tc>
        <w:tc>
          <w:tcPr>
            <w:tcW w:w="0" w:type="auto"/>
            <w:vAlign w:val="center"/>
            <w:hideMark/>
          </w:tcPr>
          <w:p w14:paraId="31B1FE5A" w14:textId="77777777" w:rsidR="005B5254" w:rsidRPr="005B5254" w:rsidRDefault="005B5254">
            <w:pPr>
              <w:rPr>
                <w:sz w:val="22"/>
                <w:szCs w:val="22"/>
              </w:rPr>
            </w:pPr>
            <w:r w:rsidRPr="005B5254">
              <w:rPr>
                <w:sz w:val="22"/>
                <w:szCs w:val="22"/>
              </w:rPr>
              <w:t>~90%</w:t>
            </w:r>
          </w:p>
        </w:tc>
        <w:tc>
          <w:tcPr>
            <w:tcW w:w="0" w:type="auto"/>
            <w:vAlign w:val="center"/>
            <w:hideMark/>
          </w:tcPr>
          <w:p w14:paraId="1477822A" w14:textId="77777777" w:rsidR="005B5254" w:rsidRPr="005B5254" w:rsidRDefault="005B5254">
            <w:pPr>
              <w:rPr>
                <w:sz w:val="22"/>
                <w:szCs w:val="22"/>
              </w:rPr>
            </w:pPr>
            <w:r w:rsidRPr="005B5254">
              <w:rPr>
                <w:sz w:val="22"/>
                <w:szCs w:val="22"/>
              </w:rPr>
              <w:t>~60%</w:t>
            </w:r>
          </w:p>
        </w:tc>
        <w:tc>
          <w:tcPr>
            <w:tcW w:w="0" w:type="auto"/>
            <w:vAlign w:val="center"/>
            <w:hideMark/>
          </w:tcPr>
          <w:p w14:paraId="47C932F7" w14:textId="77777777" w:rsidR="005B5254" w:rsidRPr="005B5254" w:rsidRDefault="005B5254">
            <w:pPr>
              <w:rPr>
                <w:sz w:val="22"/>
                <w:szCs w:val="22"/>
              </w:rPr>
            </w:pPr>
            <w:r w:rsidRPr="005B5254">
              <w:rPr>
                <w:sz w:val="22"/>
                <w:szCs w:val="22"/>
              </w:rPr>
              <w:t>Excellent liquidity management</w:t>
            </w:r>
          </w:p>
        </w:tc>
      </w:tr>
    </w:tbl>
    <w:p w14:paraId="16CB0AE8" w14:textId="77777777" w:rsidR="005B5254" w:rsidRPr="005B5254" w:rsidRDefault="005B5254" w:rsidP="005B5254">
      <w:pPr>
        <w:rPr>
          <w:sz w:val="22"/>
          <w:szCs w:val="22"/>
        </w:rPr>
      </w:pPr>
      <w:r w:rsidRPr="005B5254">
        <w:rPr>
          <w:sz w:val="22"/>
          <w:szCs w:val="22"/>
        </w:rPr>
        <w:pict w14:anchorId="6196DF8E">
          <v:rect id="_x0000_i1030" style="width:0;height:1.5pt" o:hralign="center" o:hrstd="t" o:hr="t" fillcolor="#a0a0a0" stroked="f"/>
        </w:pict>
      </w:r>
    </w:p>
    <w:p w14:paraId="066E17AA" w14:textId="77777777" w:rsidR="005B5254" w:rsidRPr="005B5254" w:rsidRDefault="005B5254" w:rsidP="005B5254">
      <w:pPr>
        <w:pStyle w:val="Heading2"/>
        <w:rPr>
          <w:sz w:val="28"/>
          <w:szCs w:val="28"/>
        </w:rPr>
      </w:pPr>
      <w:r w:rsidRPr="005B5254">
        <w:rPr>
          <w:sz w:val="28"/>
          <w:szCs w:val="28"/>
        </w:rPr>
        <w:t>Big Trends &amp; Events</w:t>
      </w:r>
    </w:p>
    <w:p w14:paraId="488E7CC5" w14:textId="77777777" w:rsidR="005B5254" w:rsidRPr="005B5254" w:rsidRDefault="005B5254" w:rsidP="005B5254">
      <w:pPr>
        <w:pStyle w:val="my-2"/>
        <w:numPr>
          <w:ilvl w:val="0"/>
          <w:numId w:val="7"/>
        </w:numPr>
        <w:rPr>
          <w:sz w:val="22"/>
          <w:szCs w:val="22"/>
        </w:rPr>
      </w:pPr>
      <w:r w:rsidRPr="005B5254">
        <w:rPr>
          <w:rStyle w:val="Strong"/>
          <w:rFonts w:eastAsiaTheme="majorEastAsia"/>
          <w:sz w:val="22"/>
          <w:szCs w:val="22"/>
        </w:rPr>
        <w:t>Digital transformation &amp; platform expansion</w:t>
      </w:r>
      <w:r w:rsidRPr="005B5254">
        <w:rPr>
          <w:sz w:val="22"/>
          <w:szCs w:val="22"/>
        </w:rPr>
        <w:t xml:space="preserve">: Substantial investment in digital trade </w:t>
      </w:r>
      <w:proofErr w:type="spellStart"/>
      <w:r w:rsidRPr="005B5254">
        <w:rPr>
          <w:sz w:val="22"/>
          <w:szCs w:val="22"/>
        </w:rPr>
        <w:t>center</w:t>
      </w:r>
      <w:proofErr w:type="spellEnd"/>
      <w:r w:rsidRPr="005B5254">
        <w:rPr>
          <w:sz w:val="22"/>
          <w:szCs w:val="22"/>
        </w:rPr>
        <w:t>, ramping up technology integration (AI, blockchain)</w:t>
      </w:r>
      <w:hyperlink r:id="rId33"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1D556B42" w14:textId="77777777" w:rsidR="005B5254" w:rsidRPr="005B5254" w:rsidRDefault="005B5254" w:rsidP="005B5254">
      <w:pPr>
        <w:pStyle w:val="my-2"/>
        <w:numPr>
          <w:ilvl w:val="0"/>
          <w:numId w:val="7"/>
        </w:numPr>
        <w:rPr>
          <w:sz w:val="22"/>
          <w:szCs w:val="22"/>
        </w:rPr>
      </w:pPr>
      <w:r w:rsidRPr="005B5254">
        <w:rPr>
          <w:rStyle w:val="Strong"/>
          <w:rFonts w:eastAsiaTheme="majorEastAsia"/>
          <w:sz w:val="22"/>
          <w:szCs w:val="22"/>
        </w:rPr>
        <w:t>Government support:</w:t>
      </w:r>
      <w:r w:rsidRPr="005B5254">
        <w:rPr>
          <w:sz w:val="22"/>
          <w:szCs w:val="22"/>
        </w:rPr>
        <w:t xml:space="preserve"> Active fiscal and trade policy support for Yiwu and </w:t>
      </w:r>
      <w:proofErr w:type="spellStart"/>
      <w:r w:rsidRPr="005B5254">
        <w:rPr>
          <w:sz w:val="22"/>
          <w:szCs w:val="22"/>
        </w:rPr>
        <w:t>CCC</w:t>
      </w:r>
      <w:hyperlink r:id="rId34" w:tgtFrame="_blank" w:history="1">
        <w:r w:rsidRPr="005B5254">
          <w:rPr>
            <w:rStyle w:val="relative"/>
            <w:rFonts w:eastAsiaTheme="majorEastAsia"/>
            <w:color w:val="0000FF"/>
            <w:sz w:val="22"/>
            <w:szCs w:val="22"/>
            <w:u w:val="single"/>
          </w:rPr>
          <w:t>ali.spgchinaratings</w:t>
        </w:r>
        <w:proofErr w:type="spellEnd"/>
      </w:hyperlink>
    </w:p>
    <w:p w14:paraId="710086B6" w14:textId="77777777" w:rsidR="005B5254" w:rsidRPr="005B5254" w:rsidRDefault="005B5254" w:rsidP="005B5254">
      <w:pPr>
        <w:pStyle w:val="my-2"/>
        <w:numPr>
          <w:ilvl w:val="0"/>
          <w:numId w:val="7"/>
        </w:numPr>
        <w:rPr>
          <w:sz w:val="22"/>
          <w:szCs w:val="22"/>
        </w:rPr>
      </w:pPr>
      <w:r w:rsidRPr="005B5254">
        <w:rPr>
          <w:rStyle w:val="Strong"/>
          <w:rFonts w:eastAsiaTheme="majorEastAsia"/>
          <w:sz w:val="22"/>
          <w:szCs w:val="22"/>
        </w:rPr>
        <w:t>Supply chain stability:</w:t>
      </w:r>
      <w:r w:rsidRPr="005B5254">
        <w:rPr>
          <w:sz w:val="22"/>
          <w:szCs w:val="22"/>
        </w:rPr>
        <w:t xml:space="preserve"> CCC’s central role in China’s global trade </w:t>
      </w:r>
      <w:proofErr w:type="spellStart"/>
      <w:r w:rsidRPr="005B5254">
        <w:rPr>
          <w:sz w:val="22"/>
          <w:szCs w:val="22"/>
        </w:rPr>
        <w:t>resilience</w:t>
      </w:r>
      <w:hyperlink r:id="rId35" w:tgtFrame="_blank" w:history="1">
        <w:r w:rsidRPr="005B5254">
          <w:rPr>
            <w:rStyle w:val="relative"/>
            <w:rFonts w:eastAsiaTheme="majorEastAsia"/>
            <w:color w:val="0000FF"/>
            <w:sz w:val="22"/>
            <w:szCs w:val="22"/>
            <w:u w:val="single"/>
          </w:rPr>
          <w:t>ali.spgchinaratings</w:t>
        </w:r>
        <w:proofErr w:type="spellEnd"/>
      </w:hyperlink>
    </w:p>
    <w:p w14:paraId="3C3CD5C0" w14:textId="77777777" w:rsidR="005B5254" w:rsidRPr="005B5254" w:rsidRDefault="005B5254" w:rsidP="005B5254">
      <w:pPr>
        <w:rPr>
          <w:sz w:val="22"/>
          <w:szCs w:val="22"/>
        </w:rPr>
      </w:pPr>
      <w:r w:rsidRPr="005B5254">
        <w:rPr>
          <w:sz w:val="22"/>
          <w:szCs w:val="22"/>
        </w:rPr>
        <w:pict w14:anchorId="740B3B6D">
          <v:rect id="_x0000_i1031" style="width:0;height:1.5pt" o:hralign="center" o:hrstd="t" o:hr="t" fillcolor="#a0a0a0" stroked="f"/>
        </w:pict>
      </w:r>
    </w:p>
    <w:p w14:paraId="04E0F44E" w14:textId="77777777" w:rsidR="005B5254" w:rsidRPr="005B5254" w:rsidRDefault="005B5254" w:rsidP="005B5254">
      <w:pPr>
        <w:pStyle w:val="Heading2"/>
        <w:rPr>
          <w:sz w:val="28"/>
          <w:szCs w:val="28"/>
        </w:rPr>
      </w:pPr>
      <w:r w:rsidRPr="005B5254">
        <w:rPr>
          <w:sz w:val="28"/>
          <w:szCs w:val="28"/>
        </w:rPr>
        <w:t>Customer Segments &amp; Demand Trends</w:t>
      </w:r>
    </w:p>
    <w:p w14:paraId="450907BD" w14:textId="77777777" w:rsidR="005B5254" w:rsidRPr="005B5254" w:rsidRDefault="005B5254" w:rsidP="005B5254">
      <w:pPr>
        <w:pStyle w:val="my-2"/>
        <w:numPr>
          <w:ilvl w:val="0"/>
          <w:numId w:val="8"/>
        </w:numPr>
        <w:rPr>
          <w:sz w:val="22"/>
          <w:szCs w:val="22"/>
        </w:rPr>
      </w:pPr>
      <w:r w:rsidRPr="005B5254">
        <w:rPr>
          <w:rStyle w:val="Strong"/>
          <w:rFonts w:eastAsiaTheme="majorEastAsia"/>
          <w:sz w:val="22"/>
          <w:szCs w:val="22"/>
        </w:rPr>
        <w:t>Major Segments:</w:t>
      </w:r>
      <w:r w:rsidRPr="005B5254">
        <w:rPr>
          <w:sz w:val="22"/>
          <w:szCs w:val="22"/>
        </w:rPr>
        <w:t xml:space="preserve"> SMEs (72% of customers), limited liability companies (11%), sole proprietors (15%) ;</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"http://money.finance.sina.com.cn/corp/view/vCB_AllBulletinDetail.php?stockid=600415&amp;id=10846188"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money.finance.sina</w:t>
      </w:r>
      <w:proofErr w:type="spellEnd"/>
      <w:r w:rsidRPr="005B5254">
        <w:rPr>
          <w:rStyle w:val="citation"/>
          <w:rFonts w:eastAsiaTheme="majorEastAsia"/>
          <w:sz w:val="22"/>
          <w:szCs w:val="22"/>
        </w:rPr>
        <w:fldChar w:fldCharType="end"/>
      </w:r>
    </w:p>
    <w:p w14:paraId="067AA85E" w14:textId="77777777" w:rsidR="005B5254" w:rsidRPr="005B5254" w:rsidRDefault="005B5254" w:rsidP="005B5254">
      <w:pPr>
        <w:pStyle w:val="my-2"/>
        <w:numPr>
          <w:ilvl w:val="0"/>
          <w:numId w:val="8"/>
        </w:numPr>
        <w:rPr>
          <w:sz w:val="22"/>
          <w:szCs w:val="22"/>
        </w:rPr>
      </w:pPr>
      <w:r w:rsidRPr="005B5254">
        <w:rPr>
          <w:rStyle w:val="Strong"/>
          <w:rFonts w:eastAsiaTheme="majorEastAsia"/>
          <w:sz w:val="22"/>
          <w:szCs w:val="22"/>
        </w:rPr>
        <w:t>Forecast:</w:t>
      </w:r>
      <w:r w:rsidRPr="005B5254">
        <w:rPr>
          <w:sz w:val="22"/>
          <w:szCs w:val="22"/>
        </w:rPr>
        <w:t xml:space="preserve"> Segment sales expected to grow 8–12% in 2026, led by SMEs and </w:t>
      </w:r>
      <w:proofErr w:type="spellStart"/>
      <w:r w:rsidRPr="005B5254">
        <w:rPr>
          <w:sz w:val="22"/>
          <w:szCs w:val="22"/>
        </w:rPr>
        <w:t>exports</w:t>
      </w:r>
      <w:hyperlink r:id="rId36" w:tgtFrame="_blank" w:history="1">
        <w:r w:rsidRPr="005B5254">
          <w:rPr>
            <w:rStyle w:val="relative"/>
            <w:rFonts w:eastAsiaTheme="majorEastAsia"/>
            <w:color w:val="0000FF"/>
            <w:sz w:val="22"/>
            <w:szCs w:val="22"/>
            <w:u w:val="single"/>
          </w:rPr>
          <w:t>ali.spgchinaratings</w:t>
        </w:r>
        <w:proofErr w:type="spellEnd"/>
      </w:hyperlink>
    </w:p>
    <w:p w14:paraId="2A99D54C" w14:textId="77777777" w:rsidR="005B5254" w:rsidRPr="005B5254" w:rsidRDefault="005B5254" w:rsidP="005B5254">
      <w:pPr>
        <w:pStyle w:val="my-2"/>
        <w:numPr>
          <w:ilvl w:val="0"/>
          <w:numId w:val="8"/>
        </w:numPr>
        <w:rPr>
          <w:sz w:val="22"/>
          <w:szCs w:val="22"/>
        </w:rPr>
      </w:pPr>
      <w:r w:rsidRPr="005B5254">
        <w:rPr>
          <w:rStyle w:val="Strong"/>
          <w:rFonts w:eastAsiaTheme="majorEastAsia"/>
          <w:sz w:val="22"/>
          <w:szCs w:val="22"/>
        </w:rPr>
        <w:t>Customer Criticisms:</w:t>
      </w:r>
      <w:r w:rsidRPr="005B5254">
        <w:rPr>
          <w:sz w:val="22"/>
          <w:szCs w:val="22"/>
        </w:rPr>
        <w:t xml:space="preserve"> Limited concerns over pricing power; occasional tenant turnover due to trade headwinds</w:t>
      </w:r>
    </w:p>
    <w:p w14:paraId="6A989275" w14:textId="77777777" w:rsidR="005B5254" w:rsidRPr="005B5254" w:rsidRDefault="005B5254" w:rsidP="005B5254">
      <w:pPr>
        <w:pStyle w:val="my-2"/>
        <w:numPr>
          <w:ilvl w:val="0"/>
          <w:numId w:val="8"/>
        </w:numPr>
        <w:rPr>
          <w:sz w:val="22"/>
          <w:szCs w:val="22"/>
        </w:rPr>
      </w:pPr>
      <w:r w:rsidRPr="005B5254">
        <w:rPr>
          <w:rStyle w:val="Strong"/>
          <w:rFonts w:eastAsiaTheme="majorEastAsia"/>
          <w:sz w:val="22"/>
          <w:szCs w:val="22"/>
        </w:rPr>
        <w:t>Substitutes:</w:t>
      </w:r>
      <w:r w:rsidRPr="005B5254">
        <w:rPr>
          <w:sz w:val="22"/>
          <w:szCs w:val="22"/>
        </w:rPr>
        <w:t xml:space="preserve"> Regional markets; switching high friction due to CCC’s ecosystem and </w:t>
      </w:r>
      <w:proofErr w:type="spellStart"/>
      <w:r w:rsidRPr="005B5254">
        <w:rPr>
          <w:sz w:val="22"/>
          <w:szCs w:val="22"/>
        </w:rPr>
        <w:t>brand</w:t>
      </w:r>
      <w:hyperlink r:id="rId37" w:tgtFrame="_blank" w:history="1">
        <w:r w:rsidRPr="005B5254">
          <w:rPr>
            <w:rStyle w:val="relative"/>
            <w:rFonts w:eastAsiaTheme="majorEastAsia"/>
            <w:color w:val="0000FF"/>
            <w:sz w:val="22"/>
            <w:szCs w:val="22"/>
            <w:u w:val="single"/>
          </w:rPr>
          <w:t>ali.spgchinaratings</w:t>
        </w:r>
        <w:proofErr w:type="spellEnd"/>
      </w:hyperlink>
    </w:p>
    <w:p w14:paraId="7A378823" w14:textId="77777777" w:rsidR="005B5254" w:rsidRPr="005B5254" w:rsidRDefault="005B5254" w:rsidP="005B5254">
      <w:pPr>
        <w:rPr>
          <w:sz w:val="22"/>
          <w:szCs w:val="22"/>
        </w:rPr>
      </w:pPr>
      <w:r w:rsidRPr="005B5254">
        <w:rPr>
          <w:sz w:val="22"/>
          <w:szCs w:val="22"/>
        </w:rPr>
        <w:pict w14:anchorId="6DF3B390">
          <v:rect id="_x0000_i1032" style="width:0;height:1.5pt" o:hralign="center" o:hrstd="t" o:hr="t" fillcolor="#a0a0a0" stroked="f"/>
        </w:pict>
      </w:r>
    </w:p>
    <w:p w14:paraId="3F6EADA9" w14:textId="77777777" w:rsidR="005B5254" w:rsidRPr="005B5254" w:rsidRDefault="005B5254" w:rsidP="005B5254">
      <w:pPr>
        <w:pStyle w:val="Heading2"/>
        <w:rPr>
          <w:sz w:val="28"/>
          <w:szCs w:val="28"/>
        </w:rPr>
      </w:pPr>
      <w:r w:rsidRPr="005B5254">
        <w:rPr>
          <w:sz w:val="28"/>
          <w:szCs w:val="28"/>
        </w:rPr>
        <w:t>Competitive Landscape</w:t>
      </w:r>
    </w:p>
    <w:p w14:paraId="14090B7B" w14:textId="77777777" w:rsidR="005B5254" w:rsidRPr="005B5254" w:rsidRDefault="005B5254" w:rsidP="005B5254">
      <w:pPr>
        <w:pStyle w:val="my-2"/>
        <w:numPr>
          <w:ilvl w:val="0"/>
          <w:numId w:val="9"/>
        </w:numPr>
        <w:rPr>
          <w:sz w:val="22"/>
          <w:szCs w:val="22"/>
        </w:rPr>
      </w:pPr>
      <w:r w:rsidRPr="005B5254">
        <w:rPr>
          <w:rStyle w:val="Strong"/>
          <w:rFonts w:eastAsiaTheme="majorEastAsia"/>
          <w:sz w:val="22"/>
          <w:szCs w:val="22"/>
        </w:rPr>
        <w:t>Industry Dynamics:</w:t>
      </w:r>
      <w:r w:rsidRPr="005B5254">
        <w:rPr>
          <w:sz w:val="22"/>
          <w:szCs w:val="22"/>
        </w:rPr>
        <w:t xml:space="preserve"> CR4 concentrated (large/well-capitalized operators dominate); CCC strongest with highest occupancy and </w:t>
      </w:r>
      <w:proofErr w:type="spellStart"/>
      <w:r w:rsidRPr="005B5254">
        <w:rPr>
          <w:sz w:val="22"/>
          <w:szCs w:val="22"/>
        </w:rPr>
        <w:t>margin</w:t>
      </w:r>
      <w:hyperlink r:id="rId38" w:tgtFrame="_blank" w:history="1">
        <w:r w:rsidRPr="005B5254">
          <w:rPr>
            <w:rStyle w:val="relative"/>
            <w:rFonts w:eastAsiaTheme="majorEastAsia"/>
            <w:color w:val="0000FF"/>
            <w:sz w:val="22"/>
            <w:szCs w:val="22"/>
            <w:u w:val="single"/>
          </w:rPr>
          <w:t>ali.spgchinaratings</w:t>
        </w:r>
        <w:proofErr w:type="spellEnd"/>
      </w:hyperlink>
    </w:p>
    <w:p w14:paraId="3A0A346B" w14:textId="77777777" w:rsidR="005B5254" w:rsidRPr="005B5254" w:rsidRDefault="005B5254" w:rsidP="005B5254">
      <w:pPr>
        <w:pStyle w:val="my-2"/>
        <w:numPr>
          <w:ilvl w:val="0"/>
          <w:numId w:val="9"/>
        </w:numPr>
        <w:rPr>
          <w:sz w:val="22"/>
          <w:szCs w:val="22"/>
        </w:rPr>
      </w:pPr>
      <w:r w:rsidRPr="005B5254">
        <w:rPr>
          <w:rStyle w:val="Strong"/>
          <w:rFonts w:eastAsiaTheme="majorEastAsia"/>
          <w:sz w:val="22"/>
          <w:szCs w:val="22"/>
        </w:rPr>
        <w:t>Major Competitors:</w:t>
      </w:r>
      <w:r w:rsidRPr="005B5254">
        <w:rPr>
          <w:sz w:val="22"/>
          <w:szCs w:val="22"/>
        </w:rPr>
        <w:t xml:space="preserve"> Haining Leather Market, Linyi Trade City, Textile City Group; CCC ~15% market share</w:t>
      </w:r>
      <w:hyperlink r:id="rId39" w:tgtFrame="_blank" w:history="1">
        <w:r w:rsidRPr="005B5254">
          <w:rPr>
            <w:rStyle w:val="relative"/>
            <w:rFonts w:eastAsiaTheme="majorEastAsia"/>
            <w:color w:val="0000FF"/>
            <w:sz w:val="22"/>
            <w:szCs w:val="22"/>
            <w:u w:val="single"/>
          </w:rPr>
          <w:t>bloomberg</w:t>
        </w:r>
        <w:r w:rsidRPr="005B5254">
          <w:rPr>
            <w:rStyle w:val="opacity-50"/>
            <w:color w:val="0000FF"/>
            <w:sz w:val="22"/>
            <w:szCs w:val="22"/>
            <w:u w:val="single"/>
          </w:rPr>
          <w:t>+1</w:t>
        </w:r>
      </w:hyperlink>
    </w:p>
    <w:p w14:paraId="3489B255" w14:textId="77777777" w:rsidR="005B5254" w:rsidRPr="005B5254" w:rsidRDefault="005B5254" w:rsidP="005B5254">
      <w:pPr>
        <w:pStyle w:val="my-2"/>
        <w:numPr>
          <w:ilvl w:val="0"/>
          <w:numId w:val="9"/>
        </w:numPr>
        <w:rPr>
          <w:sz w:val="22"/>
          <w:szCs w:val="22"/>
        </w:rPr>
      </w:pPr>
      <w:r w:rsidRPr="005B5254">
        <w:rPr>
          <w:rStyle w:val="Strong"/>
          <w:rFonts w:eastAsiaTheme="majorEastAsia"/>
          <w:sz w:val="22"/>
          <w:szCs w:val="22"/>
        </w:rPr>
        <w:t>Operating Margins:</w:t>
      </w:r>
      <w:r w:rsidRPr="005B5254">
        <w:rPr>
          <w:sz w:val="22"/>
          <w:szCs w:val="22"/>
        </w:rPr>
        <w:t xml:space="preserve"> CCC tops with 31%; peers 13-18%</w:t>
      </w:r>
      <w:hyperlink r:id="rId40" w:tgtFrame="_blank" w:history="1">
        <w:r w:rsidRPr="005B5254">
          <w:rPr>
            <w:rStyle w:val="relative"/>
            <w:rFonts w:eastAsiaTheme="majorEastAsia"/>
            <w:color w:val="0000FF"/>
            <w:sz w:val="22"/>
            <w:szCs w:val="22"/>
            <w:u w:val="single"/>
          </w:rPr>
          <w:t>ali.spgchinaratings</w:t>
        </w:r>
      </w:hyperlink>
    </w:p>
    <w:p w14:paraId="218B28F8" w14:textId="77777777" w:rsidR="005B5254" w:rsidRPr="005B5254" w:rsidRDefault="005B5254" w:rsidP="005B5254">
      <w:pPr>
        <w:pStyle w:val="my-2"/>
        <w:numPr>
          <w:ilvl w:val="0"/>
          <w:numId w:val="9"/>
        </w:numPr>
        <w:rPr>
          <w:sz w:val="22"/>
          <w:szCs w:val="22"/>
        </w:rPr>
      </w:pPr>
      <w:r w:rsidRPr="005B5254">
        <w:rPr>
          <w:rStyle w:val="Strong"/>
          <w:rFonts w:eastAsiaTheme="majorEastAsia"/>
          <w:sz w:val="22"/>
          <w:szCs w:val="22"/>
        </w:rPr>
        <w:t>Moats:</w:t>
      </w:r>
      <w:r w:rsidRPr="005B5254">
        <w:rPr>
          <w:sz w:val="22"/>
          <w:szCs w:val="22"/>
        </w:rPr>
        <w:t xml:space="preserve"> Brand equity, integrated logistics, high occupancy, strong buyer/seller network, multi-year </w:t>
      </w:r>
      <w:proofErr w:type="spellStart"/>
      <w:r w:rsidRPr="005B5254">
        <w:rPr>
          <w:sz w:val="22"/>
          <w:szCs w:val="22"/>
        </w:rPr>
        <w:t>leases</w:t>
      </w:r>
      <w:hyperlink r:id="rId41" w:tgtFrame="_blank" w:history="1">
        <w:r w:rsidRPr="005B5254">
          <w:rPr>
            <w:rStyle w:val="relative"/>
            <w:rFonts w:eastAsiaTheme="majorEastAsia"/>
            <w:color w:val="0000FF"/>
            <w:sz w:val="22"/>
            <w:szCs w:val="22"/>
            <w:u w:val="single"/>
          </w:rPr>
          <w:t>ali.spgchinaratings</w:t>
        </w:r>
        <w:proofErr w:type="spellEnd"/>
      </w:hyperlink>
    </w:p>
    <w:p w14:paraId="72AF6D82" w14:textId="77777777" w:rsidR="005B5254" w:rsidRPr="005B5254" w:rsidRDefault="005B5254" w:rsidP="005B5254">
      <w:pPr>
        <w:pStyle w:val="my-2"/>
        <w:numPr>
          <w:ilvl w:val="0"/>
          <w:numId w:val="9"/>
        </w:numPr>
        <w:rPr>
          <w:sz w:val="22"/>
          <w:szCs w:val="22"/>
        </w:rPr>
      </w:pPr>
      <w:r w:rsidRPr="005B5254">
        <w:rPr>
          <w:rStyle w:val="Strong"/>
          <w:rFonts w:eastAsiaTheme="majorEastAsia"/>
          <w:sz w:val="22"/>
          <w:szCs w:val="22"/>
        </w:rPr>
        <w:t>Key Battle Front:</w:t>
      </w:r>
      <w:r w:rsidRPr="005B5254">
        <w:rPr>
          <w:sz w:val="22"/>
          <w:szCs w:val="22"/>
        </w:rPr>
        <w:t xml:space="preserve"> Scale and integrated supply chain; CCC far ahead (international platform, partnerships)</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"https://qa.ali.spgchinaratings.cn/en/ratings/pdf/20250617_zhejiang-china-commodities-city-group_en.pdf"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ali.spgchinaratings</w:t>
      </w:r>
      <w:proofErr w:type="spellEnd"/>
      <w:r w:rsidRPr="005B5254">
        <w:rPr>
          <w:rStyle w:val="citation"/>
          <w:rFonts w:eastAsiaTheme="majorEastAsia"/>
          <w:sz w:val="22"/>
          <w:szCs w:val="22"/>
        </w:rPr>
        <w:fldChar w:fldCharType="end"/>
      </w:r>
    </w:p>
    <w:p w14:paraId="4F091600" w14:textId="77777777" w:rsidR="005B5254" w:rsidRPr="005B5254" w:rsidRDefault="005B5254" w:rsidP="005B5254">
      <w:pPr>
        <w:rPr>
          <w:sz w:val="22"/>
          <w:szCs w:val="22"/>
        </w:rPr>
      </w:pPr>
      <w:r w:rsidRPr="005B5254">
        <w:rPr>
          <w:sz w:val="22"/>
          <w:szCs w:val="22"/>
        </w:rPr>
        <w:pict w14:anchorId="393C9BF7">
          <v:rect id="_x0000_i1033" style="width:0;height:1.5pt" o:hralign="center" o:hrstd="t" o:hr="t" fillcolor="#a0a0a0" stroked="f"/>
        </w:pict>
      </w:r>
    </w:p>
    <w:p w14:paraId="2A9DEEEB" w14:textId="77777777" w:rsidR="005B5254" w:rsidRPr="005B5254" w:rsidRDefault="005B5254" w:rsidP="005B5254">
      <w:pPr>
        <w:pStyle w:val="Heading2"/>
        <w:rPr>
          <w:sz w:val="28"/>
          <w:szCs w:val="28"/>
        </w:rPr>
      </w:pPr>
      <w:r w:rsidRPr="005B5254">
        <w:rPr>
          <w:sz w:val="28"/>
          <w:szCs w:val="28"/>
        </w:rPr>
        <w:t>Risks &amp; Anomalies</w:t>
      </w:r>
    </w:p>
    <w:p w14:paraId="07E37CF3" w14:textId="77777777" w:rsidR="005B5254" w:rsidRPr="005B5254" w:rsidRDefault="005B5254" w:rsidP="005B5254">
      <w:pPr>
        <w:pStyle w:val="my-2"/>
        <w:numPr>
          <w:ilvl w:val="0"/>
          <w:numId w:val="10"/>
        </w:numPr>
        <w:rPr>
          <w:sz w:val="22"/>
          <w:szCs w:val="22"/>
        </w:rPr>
      </w:pPr>
      <w:r w:rsidRPr="005B5254">
        <w:rPr>
          <w:sz w:val="22"/>
          <w:szCs w:val="22"/>
        </w:rPr>
        <w:t xml:space="preserve">Peak asset maturity/new construction </w:t>
      </w:r>
      <w:proofErr w:type="spellStart"/>
      <w:r w:rsidRPr="005B5254">
        <w:rPr>
          <w:sz w:val="22"/>
          <w:szCs w:val="22"/>
        </w:rPr>
        <w:t>slowing</w:t>
      </w:r>
      <w:hyperlink r:id="rId42" w:tgtFrame="_blank" w:history="1">
        <w:r w:rsidRPr="005B5254">
          <w:rPr>
            <w:rStyle w:val="relative"/>
            <w:rFonts w:eastAsiaTheme="majorEastAsia"/>
            <w:color w:val="0000FF"/>
            <w:sz w:val="22"/>
            <w:szCs w:val="22"/>
            <w:u w:val="single"/>
          </w:rPr>
          <w:t>ali.spgchinaratings</w:t>
        </w:r>
        <w:proofErr w:type="spellEnd"/>
      </w:hyperlink>
    </w:p>
    <w:p w14:paraId="3D3D2602" w14:textId="77777777" w:rsidR="005B5254" w:rsidRPr="005B5254" w:rsidRDefault="005B5254" w:rsidP="005B5254">
      <w:pPr>
        <w:pStyle w:val="my-2"/>
        <w:numPr>
          <w:ilvl w:val="0"/>
          <w:numId w:val="10"/>
        </w:numPr>
        <w:rPr>
          <w:sz w:val="22"/>
          <w:szCs w:val="22"/>
        </w:rPr>
      </w:pPr>
      <w:r w:rsidRPr="005B5254">
        <w:rPr>
          <w:sz w:val="22"/>
          <w:szCs w:val="22"/>
        </w:rPr>
        <w:t>Regional market concentration risks (Yiwu-centric)</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"https://qa.ali.spgchinaratings.cn/en/ratings/pdf/20250617_zhejiang-china-commodities-city-group_en.pdf"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ali.spgchinaratings</w:t>
      </w:r>
      <w:proofErr w:type="spellEnd"/>
      <w:r w:rsidRPr="005B5254">
        <w:rPr>
          <w:rStyle w:val="citation"/>
          <w:rFonts w:eastAsiaTheme="majorEastAsia"/>
          <w:sz w:val="22"/>
          <w:szCs w:val="22"/>
        </w:rPr>
        <w:fldChar w:fldCharType="end"/>
      </w:r>
    </w:p>
    <w:p w14:paraId="6DE7E940" w14:textId="77777777" w:rsidR="005B5254" w:rsidRPr="005B5254" w:rsidRDefault="005B5254" w:rsidP="005B5254">
      <w:pPr>
        <w:pStyle w:val="my-2"/>
        <w:numPr>
          <w:ilvl w:val="0"/>
          <w:numId w:val="10"/>
        </w:numPr>
        <w:rPr>
          <w:sz w:val="22"/>
          <w:szCs w:val="22"/>
        </w:rPr>
      </w:pPr>
      <w:r w:rsidRPr="005B5254">
        <w:rPr>
          <w:sz w:val="22"/>
          <w:szCs w:val="22"/>
        </w:rPr>
        <w:lastRenderedPageBreak/>
        <w:t xml:space="preserve">Exposure to global trade volatility, U.S. tariff </w:t>
      </w:r>
      <w:proofErr w:type="spellStart"/>
      <w:r w:rsidRPr="005B5254">
        <w:rPr>
          <w:sz w:val="22"/>
          <w:szCs w:val="22"/>
        </w:rPr>
        <w:t>threats</w:t>
      </w:r>
      <w:hyperlink r:id="rId43" w:tgtFrame="_blank" w:history="1">
        <w:r w:rsidRPr="005B5254">
          <w:rPr>
            <w:rStyle w:val="relative"/>
            <w:rFonts w:eastAsiaTheme="majorEastAsia"/>
            <w:color w:val="0000FF"/>
            <w:sz w:val="22"/>
            <w:szCs w:val="22"/>
            <w:u w:val="single"/>
          </w:rPr>
          <w:t>ali.spgchinaratings</w:t>
        </w:r>
        <w:proofErr w:type="spellEnd"/>
      </w:hyperlink>
    </w:p>
    <w:p w14:paraId="74EC23DF" w14:textId="77777777" w:rsidR="005B5254" w:rsidRPr="005B5254" w:rsidRDefault="005B5254" w:rsidP="005B5254">
      <w:pPr>
        <w:pStyle w:val="my-2"/>
        <w:numPr>
          <w:ilvl w:val="0"/>
          <w:numId w:val="10"/>
        </w:numPr>
        <w:rPr>
          <w:sz w:val="22"/>
          <w:szCs w:val="22"/>
        </w:rPr>
      </w:pPr>
      <w:r w:rsidRPr="005B5254">
        <w:rPr>
          <w:sz w:val="22"/>
          <w:szCs w:val="22"/>
        </w:rPr>
        <w:t>Moderate litigation exposure; financial ratio anomalies (superior interest coverage but regional risk)</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"https://qa.ali.spgchinaratings.cn/en/ratings/pdf/20250617_zhejiang-china-commodities-city-group_en.pdf"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ali.spgchinaratings</w:t>
      </w:r>
      <w:proofErr w:type="spellEnd"/>
      <w:r w:rsidRPr="005B5254">
        <w:rPr>
          <w:rStyle w:val="citation"/>
          <w:rFonts w:eastAsiaTheme="majorEastAsia"/>
          <w:sz w:val="22"/>
          <w:szCs w:val="22"/>
        </w:rPr>
        <w:fldChar w:fldCharType="end"/>
      </w:r>
    </w:p>
    <w:p w14:paraId="22292A4F" w14:textId="77777777" w:rsidR="005B5254" w:rsidRPr="005B5254" w:rsidRDefault="005B5254" w:rsidP="005B5254">
      <w:pPr>
        <w:rPr>
          <w:sz w:val="22"/>
          <w:szCs w:val="22"/>
        </w:rPr>
      </w:pPr>
      <w:r w:rsidRPr="005B5254">
        <w:rPr>
          <w:sz w:val="22"/>
          <w:szCs w:val="22"/>
        </w:rPr>
        <w:pict w14:anchorId="653827EC">
          <v:rect id="_x0000_i1034" style="width:0;height:1.5pt" o:hralign="center" o:hrstd="t" o:hr="t" fillcolor="#a0a0a0" stroked="f"/>
        </w:pict>
      </w:r>
    </w:p>
    <w:p w14:paraId="2048DBC3" w14:textId="77777777" w:rsidR="005B5254" w:rsidRPr="005B5254" w:rsidRDefault="005B5254" w:rsidP="005B5254">
      <w:pPr>
        <w:pStyle w:val="Heading2"/>
        <w:rPr>
          <w:sz w:val="28"/>
          <w:szCs w:val="28"/>
        </w:rPr>
      </w:pPr>
      <w:r w:rsidRPr="005B5254">
        <w:rPr>
          <w:sz w:val="28"/>
          <w:szCs w:val="28"/>
        </w:rPr>
        <w:t>Forecast &amp; Outlook</w:t>
      </w:r>
    </w:p>
    <w:p w14:paraId="2623911F" w14:textId="77777777" w:rsidR="005B5254" w:rsidRPr="005B5254" w:rsidRDefault="005B5254" w:rsidP="005B5254">
      <w:pPr>
        <w:pStyle w:val="my-2"/>
        <w:numPr>
          <w:ilvl w:val="0"/>
          <w:numId w:val="11"/>
        </w:numPr>
        <w:rPr>
          <w:sz w:val="22"/>
          <w:szCs w:val="22"/>
        </w:rPr>
      </w:pPr>
      <w:r w:rsidRPr="005B5254">
        <w:rPr>
          <w:rStyle w:val="Strong"/>
          <w:rFonts w:eastAsiaTheme="majorEastAsia"/>
          <w:sz w:val="22"/>
          <w:szCs w:val="22"/>
        </w:rPr>
        <w:t>Management Forecast:</w:t>
      </w:r>
      <w:r w:rsidRPr="005B5254">
        <w:rPr>
          <w:sz w:val="22"/>
          <w:szCs w:val="22"/>
        </w:rPr>
        <w:t xml:space="preserve"> FY2025 stable; FY2026 significant uplift from digital </w:t>
      </w:r>
      <w:proofErr w:type="spellStart"/>
      <w:r w:rsidRPr="005B5254">
        <w:rPr>
          <w:sz w:val="22"/>
          <w:szCs w:val="22"/>
        </w:rPr>
        <w:t>center</w:t>
      </w:r>
      <w:proofErr w:type="spellEnd"/>
      <w:r w:rsidRPr="005B5254">
        <w:rPr>
          <w:sz w:val="22"/>
          <w:szCs w:val="22"/>
        </w:rPr>
        <w:t xml:space="preserve">, expected sales +20–40%, margin </w:t>
      </w:r>
      <w:proofErr w:type="spellStart"/>
      <w:r w:rsidRPr="005B5254">
        <w:rPr>
          <w:sz w:val="22"/>
          <w:szCs w:val="22"/>
        </w:rPr>
        <w:t>expansion</w:t>
      </w:r>
      <w:hyperlink r:id="rId44" w:tgtFrame="_blank" w:history="1">
        <w:r w:rsidRPr="005B5254">
          <w:rPr>
            <w:rStyle w:val="relative"/>
            <w:rFonts w:eastAsiaTheme="majorEastAsia"/>
            <w:color w:val="0000FF"/>
            <w:sz w:val="22"/>
            <w:szCs w:val="22"/>
            <w:u w:val="single"/>
          </w:rPr>
          <w:t>ali.spgchinaratings</w:t>
        </w:r>
        <w:proofErr w:type="spellEnd"/>
      </w:hyperlink>
    </w:p>
    <w:p w14:paraId="3D831E77" w14:textId="77777777" w:rsidR="005B5254" w:rsidRPr="005B5254" w:rsidRDefault="005B5254" w:rsidP="005B5254">
      <w:pPr>
        <w:pStyle w:val="my-2"/>
        <w:numPr>
          <w:ilvl w:val="0"/>
          <w:numId w:val="11"/>
        </w:numPr>
        <w:rPr>
          <w:sz w:val="22"/>
          <w:szCs w:val="22"/>
        </w:rPr>
      </w:pPr>
      <w:r w:rsidRPr="005B5254">
        <w:rPr>
          <w:rStyle w:val="Strong"/>
          <w:rFonts w:eastAsiaTheme="majorEastAsia"/>
          <w:sz w:val="22"/>
          <w:szCs w:val="22"/>
        </w:rPr>
        <w:t>Recent Surprise:</w:t>
      </w:r>
      <w:r w:rsidRPr="005B5254">
        <w:rPr>
          <w:sz w:val="22"/>
          <w:szCs w:val="22"/>
        </w:rPr>
        <w:t xml:space="preserve"> Q2 2025 met EPS/revenue </w:t>
      </w:r>
      <w:proofErr w:type="spellStart"/>
      <w:r w:rsidRPr="005B5254">
        <w:rPr>
          <w:sz w:val="22"/>
          <w:szCs w:val="22"/>
        </w:rPr>
        <w:t>expectations</w:t>
      </w:r>
      <w:hyperlink r:id="rId45" w:tgtFrame="_blank" w:history="1">
        <w:r w:rsidRPr="005B5254">
          <w:rPr>
            <w:rStyle w:val="relative"/>
            <w:rFonts w:eastAsiaTheme="majorEastAsia"/>
            <w:color w:val="0000FF"/>
            <w:sz w:val="22"/>
            <w:szCs w:val="22"/>
            <w:u w:val="single"/>
          </w:rPr>
          <w:t>tradingview</w:t>
        </w:r>
        <w:proofErr w:type="spellEnd"/>
      </w:hyperlink>
    </w:p>
    <w:p w14:paraId="6A348AA7" w14:textId="77777777" w:rsidR="005B5254" w:rsidRPr="005B5254" w:rsidRDefault="005B5254" w:rsidP="005B5254">
      <w:pPr>
        <w:pStyle w:val="my-2"/>
        <w:numPr>
          <w:ilvl w:val="0"/>
          <w:numId w:val="11"/>
        </w:numPr>
        <w:rPr>
          <w:sz w:val="22"/>
          <w:szCs w:val="22"/>
        </w:rPr>
      </w:pPr>
      <w:r w:rsidRPr="005B5254">
        <w:rPr>
          <w:rStyle w:val="Strong"/>
          <w:rFonts w:eastAsiaTheme="majorEastAsia"/>
          <w:sz w:val="22"/>
          <w:szCs w:val="22"/>
        </w:rPr>
        <w:t>Growth Drivers:</w:t>
      </w:r>
      <w:r w:rsidRPr="005B5254">
        <w:rPr>
          <w:sz w:val="22"/>
          <w:szCs w:val="22"/>
        </w:rPr>
        <w:t xml:space="preserve"> Online expansion, new alliances, government support, increasing occupancy/renewal rates</w:t>
      </w:r>
      <w:hyperlink r:id="rId46"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7CB8172F" w14:textId="77777777" w:rsidR="005B5254" w:rsidRPr="005B5254" w:rsidRDefault="005B5254" w:rsidP="005B5254">
      <w:pPr>
        <w:rPr>
          <w:sz w:val="22"/>
          <w:szCs w:val="22"/>
        </w:rPr>
      </w:pPr>
      <w:r w:rsidRPr="005B5254">
        <w:rPr>
          <w:sz w:val="22"/>
          <w:szCs w:val="22"/>
        </w:rPr>
        <w:pict w14:anchorId="366076BB">
          <v:rect id="_x0000_i1035" style="width:0;height:1.5pt" o:hralign="center" o:hrstd="t" o:hr="t" fillcolor="#a0a0a0" stroked="f"/>
        </w:pict>
      </w:r>
    </w:p>
    <w:p w14:paraId="3D5E6334" w14:textId="77777777" w:rsidR="005B5254" w:rsidRPr="005B5254" w:rsidRDefault="005B5254" w:rsidP="005B5254">
      <w:pPr>
        <w:pStyle w:val="Heading2"/>
        <w:rPr>
          <w:sz w:val="28"/>
          <w:szCs w:val="28"/>
        </w:rPr>
      </w:pPr>
      <w:r w:rsidRPr="005B5254">
        <w:rPr>
          <w:sz w:val="28"/>
          <w:szCs w:val="28"/>
        </w:rPr>
        <w:t>Leading Investment Firms &amp; Views</w:t>
      </w:r>
    </w:p>
    <w:p w14:paraId="6910A8EA" w14:textId="77777777" w:rsidR="005B5254" w:rsidRPr="005B5254" w:rsidRDefault="005B5254" w:rsidP="005B5254">
      <w:pPr>
        <w:pStyle w:val="my-2"/>
        <w:numPr>
          <w:ilvl w:val="0"/>
          <w:numId w:val="12"/>
        </w:numPr>
        <w:rPr>
          <w:sz w:val="22"/>
          <w:szCs w:val="22"/>
        </w:rPr>
      </w:pPr>
      <w:r w:rsidRPr="005B5254">
        <w:rPr>
          <w:sz w:val="22"/>
          <w:szCs w:val="22"/>
        </w:rPr>
        <w:t xml:space="preserve">Consensus rating: </w:t>
      </w:r>
      <w:r w:rsidRPr="005B5254">
        <w:rPr>
          <w:rStyle w:val="Strong"/>
          <w:rFonts w:eastAsiaTheme="majorEastAsia"/>
          <w:sz w:val="22"/>
          <w:szCs w:val="22"/>
        </w:rPr>
        <w:t>Buy</w:t>
      </w:r>
      <w:r w:rsidRPr="005B5254">
        <w:rPr>
          <w:sz w:val="22"/>
          <w:szCs w:val="22"/>
        </w:rPr>
        <w:t xml:space="preserve"> (11 analysts: 7 buy, 3 strong buy, 1 hold; none sell/underperform)</w:t>
      </w:r>
      <w:hyperlink r:id="rId47" w:tgtFrame="_blank" w:history="1">
        <w:r w:rsidRPr="005B5254">
          <w:rPr>
            <w:rStyle w:val="relative"/>
            <w:rFonts w:eastAsiaTheme="majorEastAsia"/>
            <w:color w:val="0000FF"/>
            <w:sz w:val="22"/>
            <w:szCs w:val="22"/>
            <w:u w:val="single"/>
          </w:rPr>
          <w:t>futunn</w:t>
        </w:r>
        <w:r w:rsidRPr="005B5254">
          <w:rPr>
            <w:rStyle w:val="opacity-50"/>
            <w:color w:val="0000FF"/>
            <w:sz w:val="22"/>
            <w:szCs w:val="22"/>
            <w:u w:val="single"/>
          </w:rPr>
          <w:t>+2</w:t>
        </w:r>
      </w:hyperlink>
    </w:p>
    <w:p w14:paraId="3F2D0FD8" w14:textId="77777777" w:rsidR="005B5254" w:rsidRPr="005B5254" w:rsidRDefault="005B5254" w:rsidP="005B5254">
      <w:pPr>
        <w:pStyle w:val="my-2"/>
        <w:numPr>
          <w:ilvl w:val="0"/>
          <w:numId w:val="12"/>
        </w:numPr>
        <w:rPr>
          <w:sz w:val="22"/>
          <w:szCs w:val="22"/>
        </w:rPr>
      </w:pPr>
      <w:r w:rsidRPr="005B5254">
        <w:rPr>
          <w:rStyle w:val="Strong"/>
          <w:rFonts w:eastAsiaTheme="majorEastAsia"/>
          <w:sz w:val="22"/>
          <w:szCs w:val="22"/>
        </w:rPr>
        <w:t>Target price range:</w:t>
      </w:r>
      <w:r w:rsidRPr="005B5254">
        <w:rPr>
          <w:sz w:val="22"/>
          <w:szCs w:val="22"/>
        </w:rPr>
        <w:t xml:space="preserve"> 21.94–25.75 CNY (upside 12–27%)</w:t>
      </w:r>
      <w:hyperlink r:id="rId48" w:tgtFrame="_blank" w:history="1">
        <w:r w:rsidRPr="005B5254">
          <w:rPr>
            <w:rStyle w:val="relative"/>
            <w:rFonts w:eastAsiaTheme="majorEastAsia"/>
            <w:color w:val="0000FF"/>
            <w:sz w:val="22"/>
            <w:szCs w:val="22"/>
            <w:u w:val="single"/>
          </w:rPr>
          <w:t>valueinvesting</w:t>
        </w:r>
        <w:r w:rsidRPr="005B5254">
          <w:rPr>
            <w:rStyle w:val="opacity-50"/>
            <w:color w:val="0000FF"/>
            <w:sz w:val="22"/>
            <w:szCs w:val="22"/>
            <w:u w:val="single"/>
          </w:rPr>
          <w:t>+1</w:t>
        </w:r>
      </w:hyperlink>
    </w:p>
    <w:p w14:paraId="3EC5AE75" w14:textId="77777777" w:rsidR="005B5254" w:rsidRPr="005B5254" w:rsidRDefault="005B5254" w:rsidP="005B5254">
      <w:pPr>
        <w:pStyle w:val="my-2"/>
        <w:numPr>
          <w:ilvl w:val="0"/>
          <w:numId w:val="12"/>
        </w:numPr>
        <w:rPr>
          <w:sz w:val="22"/>
          <w:szCs w:val="22"/>
        </w:rPr>
      </w:pPr>
      <w:r w:rsidRPr="005B5254">
        <w:rPr>
          <w:sz w:val="22"/>
          <w:szCs w:val="22"/>
        </w:rPr>
        <w:t xml:space="preserve">Leading firms: Coverage includes CICC, Guotai Junan, Haitong, and major local </w:t>
      </w:r>
      <w:proofErr w:type="spellStart"/>
      <w:r w:rsidRPr="005B5254">
        <w:rPr>
          <w:sz w:val="22"/>
          <w:szCs w:val="22"/>
        </w:rPr>
        <w:t>brokers</w:t>
      </w:r>
      <w:hyperlink r:id="rId49" w:tgtFrame="_blank" w:history="1">
        <w:r w:rsidRPr="005B5254">
          <w:rPr>
            <w:rStyle w:val="relative"/>
            <w:rFonts w:eastAsiaTheme="majorEastAsia"/>
            <w:color w:val="0000FF"/>
            <w:sz w:val="22"/>
            <w:szCs w:val="22"/>
            <w:u w:val="single"/>
          </w:rPr>
          <w:t>futunn</w:t>
        </w:r>
        <w:proofErr w:type="spellEnd"/>
      </w:hyperlink>
    </w:p>
    <w:p w14:paraId="40C281F1" w14:textId="77777777" w:rsidR="005B5254" w:rsidRPr="005B5254" w:rsidRDefault="005B5254" w:rsidP="005B5254">
      <w:pPr>
        <w:pStyle w:val="my-2"/>
        <w:numPr>
          <w:ilvl w:val="0"/>
          <w:numId w:val="12"/>
        </w:numPr>
        <w:rPr>
          <w:sz w:val="22"/>
          <w:szCs w:val="22"/>
        </w:rPr>
      </w:pPr>
      <w:r w:rsidRPr="005B5254">
        <w:rPr>
          <w:sz w:val="22"/>
          <w:szCs w:val="22"/>
        </w:rPr>
        <w:t xml:space="preserve">Current consensus rating: "Strong </w:t>
      </w:r>
      <w:proofErr w:type="spellStart"/>
      <w:r w:rsidRPr="005B5254">
        <w:rPr>
          <w:sz w:val="22"/>
          <w:szCs w:val="22"/>
        </w:rPr>
        <w:t>Buy"</w:t>
      </w:r>
      <w:hyperlink r:id="rId50" w:tgtFrame="_blank" w:history="1">
        <w:r w:rsidRPr="005B5254">
          <w:rPr>
            <w:rStyle w:val="relative"/>
            <w:rFonts w:eastAsiaTheme="majorEastAsia"/>
            <w:color w:val="0000FF"/>
            <w:sz w:val="22"/>
            <w:szCs w:val="22"/>
            <w:u w:val="single"/>
          </w:rPr>
          <w:t>futunn</w:t>
        </w:r>
        <w:proofErr w:type="spellEnd"/>
      </w:hyperlink>
      <w:r w:rsidRPr="005B5254">
        <w:rPr>
          <w:sz w:val="22"/>
          <w:szCs w:val="22"/>
        </w:rPr>
        <w:br/>
        <w:t>-</w:t>
      </w:r>
      <w:hyperlink r:id="rId51" w:tgtFrame="_blank" w:history="1">
        <w:r w:rsidRPr="005B5254">
          <w:rPr>
            <w:rStyle w:val="relative"/>
            <w:rFonts w:eastAsiaTheme="majorEastAsia"/>
            <w:color w:val="0000FF"/>
            <w:sz w:val="22"/>
            <w:szCs w:val="22"/>
            <w:u w:val="single"/>
          </w:rPr>
          <w:t>investing</w:t>
        </w:r>
        <w:r w:rsidRPr="005B5254">
          <w:rPr>
            <w:rStyle w:val="opacity-50"/>
            <w:color w:val="0000FF"/>
            <w:sz w:val="22"/>
            <w:szCs w:val="22"/>
            <w:u w:val="single"/>
          </w:rPr>
          <w:t>+3</w:t>
        </w:r>
      </w:hyperlink>
    </w:p>
    <w:p w14:paraId="00FFC050" w14:textId="77777777" w:rsidR="005B5254" w:rsidRPr="005B5254" w:rsidRDefault="005B5254" w:rsidP="005B5254">
      <w:pPr>
        <w:rPr>
          <w:sz w:val="22"/>
          <w:szCs w:val="22"/>
        </w:rPr>
      </w:pPr>
      <w:r w:rsidRPr="005B5254">
        <w:rPr>
          <w:sz w:val="22"/>
          <w:szCs w:val="22"/>
        </w:rPr>
        <w:pict w14:anchorId="2DB7B049">
          <v:rect id="_x0000_i1036" style="width:0;height:1.5pt" o:hralign="center" o:hrstd="t" o:hr="t" fillcolor="#a0a0a0" stroked="f"/>
        </w:pict>
      </w:r>
    </w:p>
    <w:p w14:paraId="6E8174A8" w14:textId="77777777" w:rsidR="005B5254" w:rsidRPr="005B5254" w:rsidRDefault="005B5254" w:rsidP="005B5254">
      <w:pPr>
        <w:pStyle w:val="Heading2"/>
        <w:rPr>
          <w:sz w:val="28"/>
          <w:szCs w:val="28"/>
        </w:rPr>
      </w:pPr>
      <w:r w:rsidRPr="005B5254">
        <w:rPr>
          <w:sz w:val="28"/>
          <w:szCs w:val="28"/>
        </w:rPr>
        <w:t xml:space="preserve">Recommended Action: </w:t>
      </w:r>
      <w:r w:rsidRPr="005B5254">
        <w:rPr>
          <w:rStyle w:val="Strong"/>
          <w:b w:val="0"/>
          <w:bCs w:val="0"/>
          <w:sz w:val="28"/>
          <w:szCs w:val="28"/>
        </w:rPr>
        <w:t>Buy</w:t>
      </w:r>
    </w:p>
    <w:p w14:paraId="776548B1" w14:textId="77777777" w:rsidR="005B5254" w:rsidRPr="005B5254" w:rsidRDefault="005B5254" w:rsidP="005B5254">
      <w:pPr>
        <w:pStyle w:val="Heading2"/>
        <w:rPr>
          <w:sz w:val="28"/>
          <w:szCs w:val="28"/>
        </w:rPr>
      </w:pPr>
      <w:r w:rsidRPr="005B5254">
        <w:rPr>
          <w:sz w:val="28"/>
          <w:szCs w:val="28"/>
        </w:rPr>
        <w:t>Pros</w:t>
      </w:r>
    </w:p>
    <w:p w14:paraId="03A296D4" w14:textId="77777777" w:rsidR="005B5254" w:rsidRPr="005B5254" w:rsidRDefault="005B5254" w:rsidP="005B5254">
      <w:pPr>
        <w:pStyle w:val="my-2"/>
        <w:numPr>
          <w:ilvl w:val="0"/>
          <w:numId w:val="13"/>
        </w:numPr>
        <w:rPr>
          <w:sz w:val="22"/>
          <w:szCs w:val="22"/>
        </w:rPr>
      </w:pPr>
      <w:r w:rsidRPr="005B5254">
        <w:rPr>
          <w:sz w:val="22"/>
          <w:szCs w:val="22"/>
        </w:rPr>
        <w:t>Industry-leading margins, occupancy, growth rates</w:t>
      </w:r>
      <w:hyperlink r:id="rId52"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p>
    <w:p w14:paraId="0F81057B" w14:textId="77777777" w:rsidR="005B5254" w:rsidRPr="005B5254" w:rsidRDefault="005B5254" w:rsidP="005B5254">
      <w:pPr>
        <w:pStyle w:val="my-2"/>
        <w:numPr>
          <w:ilvl w:val="0"/>
          <w:numId w:val="13"/>
        </w:numPr>
        <w:rPr>
          <w:sz w:val="22"/>
          <w:szCs w:val="22"/>
        </w:rPr>
      </w:pPr>
      <w:r w:rsidRPr="005B5254">
        <w:rPr>
          <w:sz w:val="22"/>
          <w:szCs w:val="22"/>
        </w:rPr>
        <w:t xml:space="preserve">Very low leverage, robust liquidity, high </w:t>
      </w:r>
      <w:proofErr w:type="spellStart"/>
      <w:r w:rsidRPr="005B5254">
        <w:rPr>
          <w:sz w:val="22"/>
          <w:szCs w:val="22"/>
        </w:rPr>
        <w:t>dividend</w:t>
      </w:r>
      <w:hyperlink r:id="rId53" w:tgtFrame="_blank" w:history="1">
        <w:r w:rsidRPr="005B5254">
          <w:rPr>
            <w:rStyle w:val="relative"/>
            <w:rFonts w:eastAsiaTheme="majorEastAsia"/>
            <w:color w:val="0000FF"/>
            <w:sz w:val="22"/>
            <w:szCs w:val="22"/>
            <w:u w:val="single"/>
          </w:rPr>
          <w:t>ali.spgchinaratings</w:t>
        </w:r>
        <w:proofErr w:type="spellEnd"/>
      </w:hyperlink>
    </w:p>
    <w:p w14:paraId="63BBF794" w14:textId="77777777" w:rsidR="005B5254" w:rsidRPr="005B5254" w:rsidRDefault="005B5254" w:rsidP="005B5254">
      <w:pPr>
        <w:pStyle w:val="my-2"/>
        <w:numPr>
          <w:ilvl w:val="0"/>
          <w:numId w:val="13"/>
        </w:numPr>
        <w:rPr>
          <w:sz w:val="22"/>
          <w:szCs w:val="22"/>
        </w:rPr>
      </w:pPr>
      <w:r w:rsidRPr="005B5254">
        <w:rPr>
          <w:sz w:val="22"/>
          <w:szCs w:val="22"/>
        </w:rPr>
        <w:t>Consensus Buy rating, 12–27% upside</w:t>
      </w:r>
      <w:hyperlink r:id="rId54" w:tgtFrame="_blank" w:history="1">
        <w:r w:rsidRPr="005B5254">
          <w:rPr>
            <w:rStyle w:val="relative"/>
            <w:rFonts w:eastAsiaTheme="majorEastAsia"/>
            <w:color w:val="0000FF"/>
            <w:sz w:val="22"/>
            <w:szCs w:val="22"/>
            <w:u w:val="single"/>
          </w:rPr>
          <w:t>tradingview</w:t>
        </w:r>
        <w:r w:rsidRPr="005B5254">
          <w:rPr>
            <w:rStyle w:val="opacity-50"/>
            <w:color w:val="0000FF"/>
            <w:sz w:val="22"/>
            <w:szCs w:val="22"/>
            <w:u w:val="single"/>
          </w:rPr>
          <w:t>+1</w:t>
        </w:r>
      </w:hyperlink>
    </w:p>
    <w:p w14:paraId="3D15D5F0" w14:textId="77777777" w:rsidR="005B5254" w:rsidRPr="005B5254" w:rsidRDefault="005B5254" w:rsidP="005B5254">
      <w:pPr>
        <w:pStyle w:val="my-2"/>
        <w:numPr>
          <w:ilvl w:val="0"/>
          <w:numId w:val="13"/>
        </w:numPr>
        <w:rPr>
          <w:sz w:val="22"/>
          <w:szCs w:val="22"/>
        </w:rPr>
      </w:pPr>
      <w:r w:rsidRPr="005B5254">
        <w:rPr>
          <w:sz w:val="22"/>
          <w:szCs w:val="22"/>
        </w:rPr>
        <w:t>Multi-layered moats (brand, tech, partnership, scale)</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"https://qa.ali.spgchinaratings.cn/en/ratings/pdf/20250617_zhejiang-china-commodities-city-group_en.pdf"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ali.spgchinaratings</w:t>
      </w:r>
      <w:proofErr w:type="spellEnd"/>
      <w:r w:rsidRPr="005B5254">
        <w:rPr>
          <w:rStyle w:val="citation"/>
          <w:rFonts w:eastAsiaTheme="majorEastAsia"/>
          <w:sz w:val="22"/>
          <w:szCs w:val="22"/>
        </w:rPr>
        <w:fldChar w:fldCharType="end"/>
      </w:r>
    </w:p>
    <w:p w14:paraId="09BD249E" w14:textId="77777777" w:rsidR="005B5254" w:rsidRPr="005B5254" w:rsidRDefault="005B5254" w:rsidP="005B5254">
      <w:pPr>
        <w:pStyle w:val="Heading2"/>
        <w:rPr>
          <w:sz w:val="28"/>
          <w:szCs w:val="28"/>
        </w:rPr>
      </w:pPr>
      <w:r w:rsidRPr="005B5254">
        <w:rPr>
          <w:sz w:val="28"/>
          <w:szCs w:val="28"/>
        </w:rPr>
        <w:t>Cons</w:t>
      </w:r>
    </w:p>
    <w:p w14:paraId="38327F5D" w14:textId="77777777" w:rsidR="005B5254" w:rsidRPr="005B5254" w:rsidRDefault="005B5254" w:rsidP="005B5254">
      <w:pPr>
        <w:pStyle w:val="my-2"/>
        <w:numPr>
          <w:ilvl w:val="0"/>
          <w:numId w:val="14"/>
        </w:numPr>
        <w:rPr>
          <w:sz w:val="22"/>
          <w:szCs w:val="22"/>
        </w:rPr>
      </w:pPr>
      <w:r w:rsidRPr="005B5254">
        <w:rPr>
          <w:sz w:val="22"/>
          <w:szCs w:val="22"/>
        </w:rPr>
        <w:t xml:space="preserve">Asset growth is slowing, sector </w:t>
      </w:r>
      <w:proofErr w:type="spellStart"/>
      <w:r w:rsidRPr="005B5254">
        <w:rPr>
          <w:sz w:val="22"/>
          <w:szCs w:val="22"/>
        </w:rPr>
        <w:t>maturing</w:t>
      </w:r>
      <w:hyperlink r:id="rId55" w:tgtFrame="_blank" w:history="1">
        <w:r w:rsidRPr="005B5254">
          <w:rPr>
            <w:rStyle w:val="relative"/>
            <w:rFonts w:eastAsiaTheme="majorEastAsia"/>
            <w:color w:val="0000FF"/>
            <w:sz w:val="22"/>
            <w:szCs w:val="22"/>
            <w:u w:val="single"/>
          </w:rPr>
          <w:t>ali.spgchinaratings</w:t>
        </w:r>
        <w:proofErr w:type="spellEnd"/>
      </w:hyperlink>
    </w:p>
    <w:p w14:paraId="044CF4F2" w14:textId="77777777" w:rsidR="005B5254" w:rsidRPr="005B5254" w:rsidRDefault="005B5254" w:rsidP="005B5254">
      <w:pPr>
        <w:pStyle w:val="my-2"/>
        <w:numPr>
          <w:ilvl w:val="0"/>
          <w:numId w:val="14"/>
        </w:numPr>
        <w:rPr>
          <w:sz w:val="22"/>
          <w:szCs w:val="22"/>
        </w:rPr>
      </w:pPr>
      <w:r w:rsidRPr="005B5254">
        <w:rPr>
          <w:sz w:val="22"/>
          <w:szCs w:val="22"/>
        </w:rPr>
        <w:t>Geographic concentration risk (Yiwu)</w:t>
      </w:r>
      <w:proofErr w:type="spellStart"/>
      <w:r w:rsidRPr="005B5254">
        <w:rPr>
          <w:rStyle w:val="citation"/>
          <w:rFonts w:eastAsiaTheme="majorEastAsia"/>
          <w:sz w:val="22"/>
          <w:szCs w:val="22"/>
        </w:rPr>
        <w:fldChar w:fldCharType="begin"/>
      </w:r>
      <w:r w:rsidRPr="005B5254">
        <w:rPr>
          <w:rStyle w:val="citation"/>
          <w:rFonts w:eastAsiaTheme="majorEastAsia"/>
          <w:sz w:val="22"/>
          <w:szCs w:val="22"/>
        </w:rPr>
        <w:instrText>HYPERLINK "https://qa.ali.spgchinaratings.cn/en/ratings/pdf/20250617_zhejiang-china-commodities-city-group_en.pdf" \t "_blank"</w:instrText>
      </w:r>
      <w:r w:rsidRPr="005B5254">
        <w:rPr>
          <w:rStyle w:val="citation"/>
          <w:rFonts w:eastAsiaTheme="majorEastAsia"/>
          <w:sz w:val="22"/>
          <w:szCs w:val="22"/>
        </w:rPr>
      </w:r>
      <w:r w:rsidRPr="005B5254">
        <w:rPr>
          <w:rStyle w:val="citation"/>
          <w:rFonts w:eastAsiaTheme="majorEastAsia"/>
          <w:sz w:val="22"/>
          <w:szCs w:val="22"/>
        </w:rPr>
        <w:fldChar w:fldCharType="separate"/>
      </w:r>
      <w:r w:rsidRPr="005B5254">
        <w:rPr>
          <w:rStyle w:val="relative"/>
          <w:rFonts w:eastAsiaTheme="majorEastAsia"/>
          <w:color w:val="0000FF"/>
          <w:sz w:val="22"/>
          <w:szCs w:val="22"/>
          <w:u w:val="single"/>
        </w:rPr>
        <w:t>ali.spgchinaratings</w:t>
      </w:r>
      <w:proofErr w:type="spellEnd"/>
      <w:r w:rsidRPr="005B5254">
        <w:rPr>
          <w:rStyle w:val="citation"/>
          <w:rFonts w:eastAsiaTheme="majorEastAsia"/>
          <w:sz w:val="22"/>
          <w:szCs w:val="22"/>
        </w:rPr>
        <w:fldChar w:fldCharType="end"/>
      </w:r>
    </w:p>
    <w:p w14:paraId="175D9972" w14:textId="77777777" w:rsidR="005B5254" w:rsidRPr="005B5254" w:rsidRDefault="005B5254" w:rsidP="005B5254">
      <w:pPr>
        <w:pStyle w:val="my-2"/>
        <w:numPr>
          <w:ilvl w:val="0"/>
          <w:numId w:val="14"/>
        </w:numPr>
        <w:rPr>
          <w:sz w:val="22"/>
          <w:szCs w:val="22"/>
        </w:rPr>
      </w:pPr>
      <w:r w:rsidRPr="005B5254">
        <w:rPr>
          <w:sz w:val="22"/>
          <w:szCs w:val="22"/>
        </w:rPr>
        <w:t xml:space="preserve">Vulnerable to global trade shocks and policy </w:t>
      </w:r>
      <w:proofErr w:type="spellStart"/>
      <w:r w:rsidRPr="005B5254">
        <w:rPr>
          <w:sz w:val="22"/>
          <w:szCs w:val="22"/>
        </w:rPr>
        <w:t>shifts</w:t>
      </w:r>
      <w:hyperlink r:id="rId56" w:tgtFrame="_blank" w:history="1">
        <w:r w:rsidRPr="005B5254">
          <w:rPr>
            <w:rStyle w:val="relative"/>
            <w:rFonts w:eastAsiaTheme="majorEastAsia"/>
            <w:color w:val="0000FF"/>
            <w:sz w:val="22"/>
            <w:szCs w:val="22"/>
            <w:u w:val="single"/>
          </w:rPr>
          <w:t>ali.spgchinaratings</w:t>
        </w:r>
        <w:proofErr w:type="spellEnd"/>
      </w:hyperlink>
    </w:p>
    <w:p w14:paraId="7CD4605C" w14:textId="77777777" w:rsidR="005B5254" w:rsidRPr="005B5254" w:rsidRDefault="005B5254" w:rsidP="005B5254">
      <w:pPr>
        <w:rPr>
          <w:sz w:val="22"/>
          <w:szCs w:val="22"/>
        </w:rPr>
      </w:pPr>
      <w:r w:rsidRPr="005B5254">
        <w:rPr>
          <w:sz w:val="22"/>
          <w:szCs w:val="22"/>
        </w:rPr>
        <w:pict w14:anchorId="7AF2BDE0">
          <v:rect id="_x0000_i1037" style="width:0;height:1.5pt" o:hralign="center" o:hrstd="t" o:hr="t" fillcolor="#a0a0a0" stroked="f"/>
        </w:pict>
      </w:r>
    </w:p>
    <w:p w14:paraId="7A81A13B" w14:textId="77777777" w:rsidR="005B5254" w:rsidRPr="005B5254" w:rsidRDefault="005B5254" w:rsidP="005B5254">
      <w:pPr>
        <w:pStyle w:val="Heading2"/>
        <w:rPr>
          <w:sz w:val="28"/>
          <w:szCs w:val="28"/>
        </w:rPr>
      </w:pPr>
      <w:r w:rsidRPr="005B5254">
        <w:rPr>
          <w:sz w:val="28"/>
          <w:szCs w:val="28"/>
        </w:rPr>
        <w:t>Industry Ratio &amp; Metric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187"/>
        <w:gridCol w:w="1292"/>
        <w:gridCol w:w="2787"/>
      </w:tblGrid>
      <w:tr w:rsidR="005B5254" w:rsidRPr="005B5254" w14:paraId="47E7602E" w14:textId="77777777">
        <w:trPr>
          <w:tblHeader/>
          <w:tblCellSpacing w:w="15" w:type="dxa"/>
        </w:trPr>
        <w:tc>
          <w:tcPr>
            <w:tcW w:w="0" w:type="auto"/>
            <w:vAlign w:val="center"/>
            <w:hideMark/>
          </w:tcPr>
          <w:p w14:paraId="5A133F5B" w14:textId="77777777" w:rsidR="005B5254" w:rsidRPr="005B5254" w:rsidRDefault="005B5254">
            <w:pPr>
              <w:jc w:val="center"/>
              <w:rPr>
                <w:b/>
                <w:bCs/>
                <w:sz w:val="22"/>
                <w:szCs w:val="22"/>
              </w:rPr>
            </w:pPr>
            <w:r w:rsidRPr="005B5254">
              <w:rPr>
                <w:b/>
                <w:bCs/>
                <w:sz w:val="22"/>
                <w:szCs w:val="22"/>
              </w:rPr>
              <w:t>Ratio/Metric</w:t>
            </w:r>
          </w:p>
        </w:tc>
        <w:tc>
          <w:tcPr>
            <w:tcW w:w="0" w:type="auto"/>
            <w:vAlign w:val="center"/>
            <w:hideMark/>
          </w:tcPr>
          <w:p w14:paraId="2F7267B1" w14:textId="77777777" w:rsidR="005B5254" w:rsidRPr="005B5254" w:rsidRDefault="005B5254">
            <w:pPr>
              <w:jc w:val="center"/>
              <w:rPr>
                <w:b/>
                <w:bCs/>
                <w:sz w:val="22"/>
                <w:szCs w:val="22"/>
              </w:rPr>
            </w:pPr>
            <w:r w:rsidRPr="005B5254">
              <w:rPr>
                <w:b/>
                <w:bCs/>
                <w:sz w:val="22"/>
                <w:szCs w:val="22"/>
              </w:rPr>
              <w:t>CCC Group</w:t>
            </w:r>
          </w:p>
        </w:tc>
        <w:tc>
          <w:tcPr>
            <w:tcW w:w="0" w:type="auto"/>
            <w:vAlign w:val="center"/>
            <w:hideMark/>
          </w:tcPr>
          <w:p w14:paraId="5300BEC7" w14:textId="77777777" w:rsidR="005B5254" w:rsidRPr="005B5254" w:rsidRDefault="005B5254">
            <w:pPr>
              <w:jc w:val="center"/>
              <w:rPr>
                <w:b/>
                <w:bCs/>
                <w:sz w:val="22"/>
                <w:szCs w:val="22"/>
              </w:rPr>
            </w:pPr>
            <w:r w:rsidRPr="005B5254">
              <w:rPr>
                <w:b/>
                <w:bCs/>
                <w:sz w:val="22"/>
                <w:szCs w:val="22"/>
              </w:rPr>
              <w:t xml:space="preserve">Industry </w:t>
            </w:r>
            <w:proofErr w:type="spellStart"/>
            <w:r w:rsidRPr="005B5254">
              <w:rPr>
                <w:b/>
                <w:bCs/>
                <w:sz w:val="22"/>
                <w:szCs w:val="22"/>
              </w:rPr>
              <w:t>Avg</w:t>
            </w:r>
            <w:proofErr w:type="spellEnd"/>
          </w:p>
        </w:tc>
        <w:tc>
          <w:tcPr>
            <w:tcW w:w="0" w:type="auto"/>
            <w:vAlign w:val="center"/>
            <w:hideMark/>
          </w:tcPr>
          <w:p w14:paraId="5EA3AB16" w14:textId="77777777" w:rsidR="005B5254" w:rsidRPr="005B5254" w:rsidRDefault="005B5254">
            <w:pPr>
              <w:jc w:val="center"/>
              <w:rPr>
                <w:b/>
                <w:bCs/>
                <w:sz w:val="22"/>
                <w:szCs w:val="22"/>
              </w:rPr>
            </w:pPr>
            <w:r w:rsidRPr="005B5254">
              <w:rPr>
                <w:b/>
                <w:bCs/>
                <w:sz w:val="22"/>
                <w:szCs w:val="22"/>
              </w:rPr>
              <w:t>Trend (CCC/Industry)</w:t>
            </w:r>
          </w:p>
        </w:tc>
      </w:tr>
      <w:tr w:rsidR="005B5254" w:rsidRPr="005B5254" w14:paraId="5C967F0C" w14:textId="77777777">
        <w:trPr>
          <w:tblCellSpacing w:w="15" w:type="dxa"/>
        </w:trPr>
        <w:tc>
          <w:tcPr>
            <w:tcW w:w="0" w:type="auto"/>
            <w:vAlign w:val="center"/>
            <w:hideMark/>
          </w:tcPr>
          <w:p w14:paraId="1261A1DA" w14:textId="77777777" w:rsidR="005B5254" w:rsidRPr="005B5254" w:rsidRDefault="005B5254">
            <w:pPr>
              <w:rPr>
                <w:sz w:val="22"/>
                <w:szCs w:val="22"/>
              </w:rPr>
            </w:pPr>
            <w:r w:rsidRPr="005B5254">
              <w:rPr>
                <w:sz w:val="22"/>
                <w:szCs w:val="22"/>
              </w:rPr>
              <w:t>Debt/EBITDA</w:t>
            </w:r>
          </w:p>
        </w:tc>
        <w:tc>
          <w:tcPr>
            <w:tcW w:w="0" w:type="auto"/>
            <w:vAlign w:val="center"/>
            <w:hideMark/>
          </w:tcPr>
          <w:p w14:paraId="468AD334" w14:textId="77777777" w:rsidR="005B5254" w:rsidRPr="005B5254" w:rsidRDefault="005B5254">
            <w:pPr>
              <w:rPr>
                <w:sz w:val="22"/>
                <w:szCs w:val="22"/>
              </w:rPr>
            </w:pPr>
            <w:r w:rsidRPr="005B5254">
              <w:rPr>
                <w:sz w:val="22"/>
                <w:szCs w:val="22"/>
              </w:rPr>
              <w:t>1.0</w:t>
            </w:r>
          </w:p>
        </w:tc>
        <w:tc>
          <w:tcPr>
            <w:tcW w:w="0" w:type="auto"/>
            <w:vAlign w:val="center"/>
            <w:hideMark/>
          </w:tcPr>
          <w:p w14:paraId="56D555C5" w14:textId="77777777" w:rsidR="005B5254" w:rsidRPr="005B5254" w:rsidRDefault="005B5254">
            <w:pPr>
              <w:rPr>
                <w:sz w:val="22"/>
                <w:szCs w:val="22"/>
              </w:rPr>
            </w:pPr>
            <w:r w:rsidRPr="005B5254">
              <w:rPr>
                <w:sz w:val="22"/>
                <w:szCs w:val="22"/>
              </w:rPr>
              <w:t>2-2.5</w:t>
            </w:r>
          </w:p>
        </w:tc>
        <w:tc>
          <w:tcPr>
            <w:tcW w:w="0" w:type="auto"/>
            <w:vAlign w:val="center"/>
            <w:hideMark/>
          </w:tcPr>
          <w:p w14:paraId="51484546" w14:textId="77777777" w:rsidR="005B5254" w:rsidRPr="005B5254" w:rsidRDefault="005B5254">
            <w:pPr>
              <w:rPr>
                <w:sz w:val="22"/>
                <w:szCs w:val="22"/>
              </w:rPr>
            </w:pPr>
            <w:r w:rsidRPr="005B5254">
              <w:rPr>
                <w:sz w:val="22"/>
                <w:szCs w:val="22"/>
              </w:rPr>
              <w:t>Decreasing</w:t>
            </w:r>
          </w:p>
        </w:tc>
      </w:tr>
      <w:tr w:rsidR="005B5254" w:rsidRPr="005B5254" w14:paraId="66829C71" w14:textId="77777777">
        <w:trPr>
          <w:tblCellSpacing w:w="15" w:type="dxa"/>
        </w:trPr>
        <w:tc>
          <w:tcPr>
            <w:tcW w:w="0" w:type="auto"/>
            <w:vAlign w:val="center"/>
            <w:hideMark/>
          </w:tcPr>
          <w:p w14:paraId="1494C96D" w14:textId="77777777" w:rsidR="005B5254" w:rsidRPr="005B5254" w:rsidRDefault="005B5254">
            <w:pPr>
              <w:rPr>
                <w:sz w:val="22"/>
                <w:szCs w:val="22"/>
              </w:rPr>
            </w:pPr>
            <w:r w:rsidRPr="005B5254">
              <w:rPr>
                <w:sz w:val="22"/>
                <w:szCs w:val="22"/>
              </w:rPr>
              <w:lastRenderedPageBreak/>
              <w:t>Occupancy</w:t>
            </w:r>
          </w:p>
        </w:tc>
        <w:tc>
          <w:tcPr>
            <w:tcW w:w="0" w:type="auto"/>
            <w:vAlign w:val="center"/>
            <w:hideMark/>
          </w:tcPr>
          <w:p w14:paraId="2B001AD0" w14:textId="77777777" w:rsidR="005B5254" w:rsidRPr="005B5254" w:rsidRDefault="005B5254">
            <w:pPr>
              <w:rPr>
                <w:sz w:val="22"/>
                <w:szCs w:val="22"/>
              </w:rPr>
            </w:pPr>
            <w:r w:rsidRPr="005B5254">
              <w:rPr>
                <w:sz w:val="22"/>
                <w:szCs w:val="22"/>
              </w:rPr>
              <w:t>&gt;95%</w:t>
            </w:r>
          </w:p>
        </w:tc>
        <w:tc>
          <w:tcPr>
            <w:tcW w:w="0" w:type="auto"/>
            <w:vAlign w:val="center"/>
            <w:hideMark/>
          </w:tcPr>
          <w:p w14:paraId="3E116A97" w14:textId="77777777" w:rsidR="005B5254" w:rsidRPr="005B5254" w:rsidRDefault="005B5254">
            <w:pPr>
              <w:rPr>
                <w:sz w:val="22"/>
                <w:szCs w:val="22"/>
              </w:rPr>
            </w:pPr>
            <w:r w:rsidRPr="005B5254">
              <w:rPr>
                <w:sz w:val="22"/>
                <w:szCs w:val="22"/>
              </w:rPr>
              <w:t>80-85%</w:t>
            </w:r>
          </w:p>
        </w:tc>
        <w:tc>
          <w:tcPr>
            <w:tcW w:w="0" w:type="auto"/>
            <w:vAlign w:val="center"/>
            <w:hideMark/>
          </w:tcPr>
          <w:p w14:paraId="3D32F234" w14:textId="77777777" w:rsidR="005B5254" w:rsidRPr="005B5254" w:rsidRDefault="005B5254">
            <w:pPr>
              <w:rPr>
                <w:sz w:val="22"/>
                <w:szCs w:val="22"/>
              </w:rPr>
            </w:pPr>
            <w:r w:rsidRPr="005B5254">
              <w:rPr>
                <w:sz w:val="22"/>
                <w:szCs w:val="22"/>
              </w:rPr>
              <w:t>Stable/Superior</w:t>
            </w:r>
          </w:p>
        </w:tc>
      </w:tr>
      <w:tr w:rsidR="005B5254" w:rsidRPr="005B5254" w14:paraId="643F4001" w14:textId="77777777">
        <w:trPr>
          <w:tblCellSpacing w:w="15" w:type="dxa"/>
        </w:trPr>
        <w:tc>
          <w:tcPr>
            <w:tcW w:w="0" w:type="auto"/>
            <w:vAlign w:val="center"/>
            <w:hideMark/>
          </w:tcPr>
          <w:p w14:paraId="3BB875F0" w14:textId="77777777" w:rsidR="005B5254" w:rsidRPr="005B5254" w:rsidRDefault="005B5254">
            <w:pPr>
              <w:rPr>
                <w:sz w:val="22"/>
                <w:szCs w:val="22"/>
              </w:rPr>
            </w:pPr>
            <w:r w:rsidRPr="005B5254">
              <w:rPr>
                <w:sz w:val="22"/>
                <w:szCs w:val="22"/>
              </w:rPr>
              <w:t>EBITDA Margin</w:t>
            </w:r>
          </w:p>
        </w:tc>
        <w:tc>
          <w:tcPr>
            <w:tcW w:w="0" w:type="auto"/>
            <w:vAlign w:val="center"/>
            <w:hideMark/>
          </w:tcPr>
          <w:p w14:paraId="2E915EB1" w14:textId="77777777" w:rsidR="005B5254" w:rsidRPr="005B5254" w:rsidRDefault="005B5254">
            <w:pPr>
              <w:rPr>
                <w:sz w:val="22"/>
                <w:szCs w:val="22"/>
              </w:rPr>
            </w:pPr>
            <w:r w:rsidRPr="005B5254">
              <w:rPr>
                <w:sz w:val="22"/>
                <w:szCs w:val="22"/>
              </w:rPr>
              <w:t>31%</w:t>
            </w:r>
          </w:p>
        </w:tc>
        <w:tc>
          <w:tcPr>
            <w:tcW w:w="0" w:type="auto"/>
            <w:vAlign w:val="center"/>
            <w:hideMark/>
          </w:tcPr>
          <w:p w14:paraId="19EA725D" w14:textId="77777777" w:rsidR="005B5254" w:rsidRPr="005B5254" w:rsidRDefault="005B5254">
            <w:pPr>
              <w:rPr>
                <w:sz w:val="22"/>
                <w:szCs w:val="22"/>
              </w:rPr>
            </w:pPr>
            <w:r w:rsidRPr="005B5254">
              <w:rPr>
                <w:sz w:val="22"/>
                <w:szCs w:val="22"/>
              </w:rPr>
              <w:t>15-22%</w:t>
            </w:r>
          </w:p>
        </w:tc>
        <w:tc>
          <w:tcPr>
            <w:tcW w:w="0" w:type="auto"/>
            <w:vAlign w:val="center"/>
            <w:hideMark/>
          </w:tcPr>
          <w:p w14:paraId="523206E4" w14:textId="77777777" w:rsidR="005B5254" w:rsidRPr="005B5254" w:rsidRDefault="005B5254">
            <w:pPr>
              <w:rPr>
                <w:sz w:val="22"/>
                <w:szCs w:val="22"/>
              </w:rPr>
            </w:pPr>
            <w:r w:rsidRPr="005B5254">
              <w:rPr>
                <w:sz w:val="22"/>
                <w:szCs w:val="22"/>
              </w:rPr>
              <w:t>Expanding CCC, flat industry</w:t>
            </w:r>
          </w:p>
        </w:tc>
      </w:tr>
      <w:tr w:rsidR="005B5254" w:rsidRPr="005B5254" w14:paraId="4767F6A9" w14:textId="77777777">
        <w:trPr>
          <w:tblCellSpacing w:w="15" w:type="dxa"/>
        </w:trPr>
        <w:tc>
          <w:tcPr>
            <w:tcW w:w="0" w:type="auto"/>
            <w:vAlign w:val="center"/>
            <w:hideMark/>
          </w:tcPr>
          <w:p w14:paraId="698744C5" w14:textId="77777777" w:rsidR="005B5254" w:rsidRPr="005B5254" w:rsidRDefault="005B5254">
            <w:pPr>
              <w:rPr>
                <w:sz w:val="22"/>
                <w:szCs w:val="22"/>
              </w:rPr>
            </w:pPr>
            <w:r w:rsidRPr="005B5254">
              <w:rPr>
                <w:sz w:val="22"/>
                <w:szCs w:val="22"/>
              </w:rPr>
              <w:t>Prepaid Revenue</w:t>
            </w:r>
          </w:p>
        </w:tc>
        <w:tc>
          <w:tcPr>
            <w:tcW w:w="0" w:type="auto"/>
            <w:vAlign w:val="center"/>
            <w:hideMark/>
          </w:tcPr>
          <w:p w14:paraId="056634AD" w14:textId="77777777" w:rsidR="005B5254" w:rsidRPr="005B5254" w:rsidRDefault="005B5254">
            <w:pPr>
              <w:rPr>
                <w:sz w:val="22"/>
                <w:szCs w:val="22"/>
              </w:rPr>
            </w:pPr>
            <w:r w:rsidRPr="005B5254">
              <w:rPr>
                <w:sz w:val="22"/>
                <w:szCs w:val="22"/>
              </w:rPr>
              <w:t>~90%</w:t>
            </w:r>
          </w:p>
        </w:tc>
        <w:tc>
          <w:tcPr>
            <w:tcW w:w="0" w:type="auto"/>
            <w:vAlign w:val="center"/>
            <w:hideMark/>
          </w:tcPr>
          <w:p w14:paraId="3CFF9508" w14:textId="77777777" w:rsidR="005B5254" w:rsidRPr="005B5254" w:rsidRDefault="005B5254">
            <w:pPr>
              <w:rPr>
                <w:sz w:val="22"/>
                <w:szCs w:val="22"/>
              </w:rPr>
            </w:pPr>
            <w:r w:rsidRPr="005B5254">
              <w:rPr>
                <w:sz w:val="22"/>
                <w:szCs w:val="22"/>
              </w:rPr>
              <w:t>~60%</w:t>
            </w:r>
          </w:p>
        </w:tc>
        <w:tc>
          <w:tcPr>
            <w:tcW w:w="0" w:type="auto"/>
            <w:vAlign w:val="center"/>
            <w:hideMark/>
          </w:tcPr>
          <w:p w14:paraId="340538FC" w14:textId="77777777" w:rsidR="005B5254" w:rsidRPr="005B5254" w:rsidRDefault="005B5254">
            <w:pPr>
              <w:rPr>
                <w:sz w:val="22"/>
                <w:szCs w:val="22"/>
              </w:rPr>
            </w:pPr>
            <w:r w:rsidRPr="005B5254">
              <w:rPr>
                <w:sz w:val="22"/>
                <w:szCs w:val="22"/>
              </w:rPr>
              <w:t>Stable/High CCC</w:t>
            </w:r>
          </w:p>
        </w:tc>
      </w:tr>
    </w:tbl>
    <w:p w14:paraId="7A6E866F" w14:textId="77777777" w:rsidR="005B5254" w:rsidRPr="005B5254" w:rsidRDefault="005B5254" w:rsidP="005B5254">
      <w:pPr>
        <w:rPr>
          <w:sz w:val="22"/>
          <w:szCs w:val="22"/>
        </w:rPr>
      </w:pPr>
      <w:r w:rsidRPr="005B5254">
        <w:rPr>
          <w:sz w:val="22"/>
          <w:szCs w:val="22"/>
        </w:rPr>
        <w:pict w14:anchorId="4D6B4704">
          <v:rect id="_x0000_i1038" style="width:0;height:1.5pt" o:hralign="center" o:hrstd="t" o:hr="t" fillcolor="#a0a0a0" stroked="f"/>
        </w:pict>
      </w:r>
    </w:p>
    <w:p w14:paraId="7D2856BE" w14:textId="77777777" w:rsidR="005B5254" w:rsidRPr="005B5254" w:rsidRDefault="005B5254" w:rsidP="005B5254">
      <w:pPr>
        <w:pStyle w:val="Heading2"/>
        <w:rPr>
          <w:sz w:val="28"/>
          <w:szCs w:val="28"/>
        </w:rPr>
      </w:pPr>
      <w:r w:rsidRPr="005B5254">
        <w:rPr>
          <w:sz w:val="28"/>
          <w:szCs w:val="28"/>
        </w:rPr>
        <w:t>Key Takeaways</w:t>
      </w:r>
    </w:p>
    <w:p w14:paraId="0F94B222" w14:textId="77777777" w:rsidR="005B5254" w:rsidRPr="005B5254" w:rsidRDefault="005B5254" w:rsidP="005B5254">
      <w:pPr>
        <w:pStyle w:val="my-2"/>
        <w:rPr>
          <w:sz w:val="22"/>
          <w:szCs w:val="22"/>
        </w:rPr>
      </w:pPr>
      <w:r w:rsidRPr="005B5254">
        <w:rPr>
          <w:sz w:val="22"/>
          <w:szCs w:val="22"/>
        </w:rPr>
        <w:t>CCC Group is a dominant trading and property operation platform, benefiting from scale, strong financial discipline, and supportive regulatory and fiscal policies. Core strengths include high margins, occupancy, liquidity, and technological leadership, with ongoing government backing and successful digital platform integration.</w:t>
      </w:r>
      <w:hyperlink r:id="rId57" w:tgtFrame="_blank" w:history="1">
        <w:r w:rsidRPr="005B5254">
          <w:rPr>
            <w:rStyle w:val="relative"/>
            <w:rFonts w:eastAsiaTheme="majorEastAsia"/>
            <w:color w:val="0000FF"/>
            <w:sz w:val="22"/>
            <w:szCs w:val="22"/>
            <w:u w:val="single"/>
          </w:rPr>
          <w:t>dcfmodeling</w:t>
        </w:r>
        <w:r w:rsidRPr="005B5254">
          <w:rPr>
            <w:rStyle w:val="opacity-50"/>
            <w:color w:val="0000FF"/>
            <w:sz w:val="22"/>
            <w:szCs w:val="22"/>
            <w:u w:val="single"/>
          </w:rPr>
          <w:t>+1</w:t>
        </w:r>
      </w:hyperlink>
      <w:r w:rsidRPr="005B5254">
        <w:rPr>
          <w:sz w:val="22"/>
          <w:szCs w:val="22"/>
        </w:rPr>
        <w:br/>
        <w:t xml:space="preserve">Risks primarily revolve around regional concentration, sector maturity, and exposure to global trade volatility, which are offset by CCC’s proven resilience and operational </w:t>
      </w:r>
      <w:proofErr w:type="spellStart"/>
      <w:r w:rsidRPr="005B5254">
        <w:rPr>
          <w:sz w:val="22"/>
          <w:szCs w:val="22"/>
        </w:rPr>
        <w:t>discipline.</w:t>
      </w:r>
      <w:hyperlink r:id="rId58" w:tgtFrame="_blank" w:history="1">
        <w:r w:rsidRPr="005B5254">
          <w:rPr>
            <w:rStyle w:val="relative"/>
            <w:rFonts w:eastAsiaTheme="majorEastAsia"/>
            <w:color w:val="0000FF"/>
            <w:sz w:val="22"/>
            <w:szCs w:val="22"/>
            <w:u w:val="single"/>
          </w:rPr>
          <w:t>ali.spgchinaratings</w:t>
        </w:r>
        <w:proofErr w:type="spellEnd"/>
      </w:hyperlink>
      <w:r w:rsidRPr="005B5254">
        <w:rPr>
          <w:sz w:val="22"/>
          <w:szCs w:val="22"/>
        </w:rPr>
        <w:br/>
        <w:t xml:space="preserve">Continued monitoring of policy developments, digital transformation, tenant occupancy rates, and competitor expansion will be key for sustained performance and managing future </w:t>
      </w:r>
      <w:proofErr w:type="spellStart"/>
      <w:r w:rsidRPr="005B5254">
        <w:rPr>
          <w:sz w:val="22"/>
          <w:szCs w:val="22"/>
        </w:rPr>
        <w:t>opportunities.</w:t>
      </w:r>
      <w:hyperlink r:id="rId59" w:tgtFrame="_blank" w:history="1">
        <w:r w:rsidRPr="005B5254">
          <w:rPr>
            <w:rStyle w:val="relative"/>
            <w:rFonts w:eastAsiaTheme="majorEastAsia"/>
            <w:color w:val="0000FF"/>
            <w:sz w:val="22"/>
            <w:szCs w:val="22"/>
            <w:u w:val="single"/>
          </w:rPr>
          <w:t>ali.spgchinaratings</w:t>
        </w:r>
        <w:proofErr w:type="spellEnd"/>
      </w:hyperlink>
      <w:r w:rsidRPr="005B5254">
        <w:rPr>
          <w:sz w:val="22"/>
          <w:szCs w:val="22"/>
        </w:rPr>
        <w:br/>
        <w:t>Additional diligence should focus on evolving trade policy risks and asset deployment efficiency, but there are no major points overlooked in this analysis given currently available authoritative sources.</w:t>
      </w:r>
      <w:hyperlink r:id="rId60" w:tgtFrame="_blank" w:history="1">
        <w:r w:rsidRPr="005B5254">
          <w:rPr>
            <w:rStyle w:val="relative"/>
            <w:rFonts w:eastAsiaTheme="majorEastAsia"/>
            <w:color w:val="0000FF"/>
            <w:sz w:val="22"/>
            <w:szCs w:val="22"/>
            <w:u w:val="single"/>
          </w:rPr>
          <w:t>money.finance.sina</w:t>
        </w:r>
        <w:r w:rsidRPr="005B5254">
          <w:rPr>
            <w:rStyle w:val="opacity-50"/>
            <w:color w:val="0000FF"/>
            <w:sz w:val="22"/>
            <w:szCs w:val="22"/>
            <w:u w:val="single"/>
          </w:rPr>
          <w:t>+1</w:t>
        </w:r>
      </w:hyperlink>
    </w:p>
    <w:p w14:paraId="5682869C" w14:textId="77777777" w:rsidR="005B5254" w:rsidRPr="005B5254" w:rsidRDefault="005B5254" w:rsidP="005B5254">
      <w:pPr>
        <w:rPr>
          <w:sz w:val="22"/>
          <w:szCs w:val="22"/>
        </w:rPr>
      </w:pPr>
      <w:r w:rsidRPr="005B5254">
        <w:rPr>
          <w:sz w:val="22"/>
          <w:szCs w:val="22"/>
        </w:rPr>
        <w:pict w14:anchorId="27903C0C">
          <v:rect id="_x0000_i1039" style="width:0;height:1.5pt" o:hralign="center" o:hrstd="t" o:hr="t" fillcolor="#a0a0a0" stroked="f"/>
        </w:pict>
      </w:r>
    </w:p>
    <w:p w14:paraId="6872FAB7" w14:textId="77777777" w:rsidR="005B5254" w:rsidRPr="005B5254" w:rsidRDefault="005B5254" w:rsidP="005B5254">
      <w:pPr>
        <w:pStyle w:val="Heading2"/>
        <w:rPr>
          <w:sz w:val="28"/>
          <w:szCs w:val="28"/>
        </w:rPr>
      </w:pPr>
      <w:r w:rsidRPr="005B5254">
        <w:rPr>
          <w:sz w:val="28"/>
          <w:szCs w:val="28"/>
        </w:rPr>
        <w:t>Sources Used</w:t>
      </w:r>
    </w:p>
    <w:p w14:paraId="1E093BD7" w14:textId="77777777" w:rsidR="005B5254" w:rsidRPr="005B5254" w:rsidRDefault="005B5254" w:rsidP="005B5254">
      <w:pPr>
        <w:pStyle w:val="my-2"/>
        <w:numPr>
          <w:ilvl w:val="0"/>
          <w:numId w:val="15"/>
        </w:numPr>
        <w:rPr>
          <w:sz w:val="22"/>
          <w:szCs w:val="22"/>
        </w:rPr>
      </w:pPr>
      <w:hyperlink r:id="rId61" w:tgtFrame="_blank" w:history="1">
        <w:r w:rsidRPr="005B5254">
          <w:rPr>
            <w:rStyle w:val="Hyperlink"/>
            <w:rFonts w:eastAsiaTheme="majorEastAsia"/>
            <w:sz w:val="22"/>
            <w:szCs w:val="22"/>
          </w:rPr>
          <w:t>S&amp;P China Ratings Credit Report May 2025 (PDF)</w:t>
        </w:r>
        <w:proofErr w:type="spellStart"/>
      </w:hyperlink>
      <w:hyperlink r:id="rId62" w:tgtFrame="_blank" w:history="1">
        <w:r w:rsidRPr="005B5254">
          <w:rPr>
            <w:rStyle w:val="relative"/>
            <w:rFonts w:eastAsiaTheme="majorEastAsia"/>
            <w:color w:val="0000FF"/>
            <w:sz w:val="22"/>
            <w:szCs w:val="22"/>
            <w:u w:val="single"/>
          </w:rPr>
          <w:t>ali.spgchinaratings</w:t>
        </w:r>
        <w:proofErr w:type="spellEnd"/>
      </w:hyperlink>
    </w:p>
    <w:p w14:paraId="63495629" w14:textId="77777777" w:rsidR="005B5254" w:rsidRPr="005B5254" w:rsidRDefault="005B5254" w:rsidP="005B5254">
      <w:pPr>
        <w:pStyle w:val="my-2"/>
        <w:numPr>
          <w:ilvl w:val="0"/>
          <w:numId w:val="15"/>
        </w:numPr>
        <w:rPr>
          <w:sz w:val="22"/>
          <w:szCs w:val="22"/>
        </w:rPr>
      </w:pPr>
      <w:hyperlink r:id="rId63" w:tgtFrame="_blank" w:history="1">
        <w:r w:rsidRPr="005B5254">
          <w:rPr>
            <w:rStyle w:val="Hyperlink"/>
            <w:rFonts w:eastAsiaTheme="majorEastAsia"/>
            <w:sz w:val="22"/>
            <w:szCs w:val="22"/>
          </w:rPr>
          <w:t xml:space="preserve">CCC Group Annual Reports/Investor </w:t>
        </w:r>
        <w:proofErr w:type="spellStart"/>
        <w:r w:rsidRPr="005B5254">
          <w:rPr>
            <w:rStyle w:val="Hyperlink"/>
            <w:rFonts w:eastAsiaTheme="majorEastAsia"/>
            <w:sz w:val="22"/>
            <w:szCs w:val="22"/>
          </w:rPr>
          <w:t>Communications</w:t>
        </w:r>
      </w:hyperlink>
      <w:hyperlink r:id="rId64" w:tgtFrame="_blank" w:history="1">
        <w:r w:rsidRPr="005B5254">
          <w:rPr>
            <w:rStyle w:val="relative"/>
            <w:rFonts w:eastAsiaTheme="majorEastAsia"/>
            <w:color w:val="0000FF"/>
            <w:sz w:val="22"/>
            <w:szCs w:val="22"/>
            <w:u w:val="single"/>
          </w:rPr>
          <w:t>money.finance.sina</w:t>
        </w:r>
        <w:proofErr w:type="spellEnd"/>
      </w:hyperlink>
    </w:p>
    <w:p w14:paraId="0F7B3F6F" w14:textId="77777777" w:rsidR="005B5254" w:rsidRPr="005B5254" w:rsidRDefault="005B5254" w:rsidP="005B5254">
      <w:pPr>
        <w:pStyle w:val="my-2"/>
        <w:numPr>
          <w:ilvl w:val="0"/>
          <w:numId w:val="15"/>
        </w:numPr>
        <w:rPr>
          <w:sz w:val="22"/>
          <w:szCs w:val="22"/>
        </w:rPr>
      </w:pPr>
      <w:hyperlink r:id="rId65" w:tgtFrame="_blank" w:history="1">
        <w:r w:rsidRPr="005B5254">
          <w:rPr>
            <w:rStyle w:val="Hyperlink"/>
            <w:rFonts w:eastAsiaTheme="majorEastAsia"/>
            <w:sz w:val="22"/>
            <w:szCs w:val="22"/>
          </w:rPr>
          <w:t xml:space="preserve">Morningstar Company </w:t>
        </w:r>
        <w:proofErr w:type="spellStart"/>
        <w:r w:rsidRPr="005B5254">
          <w:rPr>
            <w:rStyle w:val="Hyperlink"/>
            <w:rFonts w:eastAsiaTheme="majorEastAsia"/>
            <w:sz w:val="22"/>
            <w:szCs w:val="22"/>
          </w:rPr>
          <w:t>Profile</w:t>
        </w:r>
      </w:hyperlink>
      <w:hyperlink r:id="rId66" w:tgtFrame="_blank" w:history="1">
        <w:r w:rsidRPr="005B5254">
          <w:rPr>
            <w:rStyle w:val="relative"/>
            <w:rFonts w:eastAsiaTheme="majorEastAsia"/>
            <w:color w:val="0000FF"/>
            <w:sz w:val="22"/>
            <w:szCs w:val="22"/>
            <w:u w:val="single"/>
          </w:rPr>
          <w:t>morningstar</w:t>
        </w:r>
        <w:proofErr w:type="spellEnd"/>
      </w:hyperlink>
    </w:p>
    <w:p w14:paraId="063D4551" w14:textId="77777777" w:rsidR="005B5254" w:rsidRPr="005B5254" w:rsidRDefault="005B5254" w:rsidP="005B5254">
      <w:pPr>
        <w:pStyle w:val="my-2"/>
        <w:numPr>
          <w:ilvl w:val="0"/>
          <w:numId w:val="15"/>
        </w:numPr>
        <w:rPr>
          <w:sz w:val="22"/>
          <w:szCs w:val="22"/>
        </w:rPr>
      </w:pPr>
      <w:hyperlink r:id="rId67" w:tgtFrame="_blank" w:history="1">
        <w:r w:rsidRPr="005B5254">
          <w:rPr>
            <w:rStyle w:val="Hyperlink"/>
            <w:rFonts w:eastAsiaTheme="majorEastAsia"/>
            <w:sz w:val="22"/>
            <w:szCs w:val="22"/>
          </w:rPr>
          <w:t xml:space="preserve">Analyst Ratings &amp; Target </w:t>
        </w:r>
        <w:proofErr w:type="spellStart"/>
        <w:r w:rsidRPr="005B5254">
          <w:rPr>
            <w:rStyle w:val="Hyperlink"/>
            <w:rFonts w:eastAsiaTheme="majorEastAsia"/>
            <w:sz w:val="22"/>
            <w:szCs w:val="22"/>
          </w:rPr>
          <w:t>Prices</w:t>
        </w:r>
      </w:hyperlink>
      <w:hyperlink r:id="rId68" w:tgtFrame="_blank" w:history="1">
        <w:r w:rsidRPr="005B5254">
          <w:rPr>
            <w:rStyle w:val="relative"/>
            <w:rFonts w:eastAsiaTheme="majorEastAsia"/>
            <w:color w:val="0000FF"/>
            <w:sz w:val="22"/>
            <w:szCs w:val="22"/>
            <w:u w:val="single"/>
          </w:rPr>
          <w:t>valueinvesting</w:t>
        </w:r>
        <w:proofErr w:type="spellEnd"/>
      </w:hyperlink>
    </w:p>
    <w:p w14:paraId="7798EC8B" w14:textId="77777777" w:rsidR="005B5254" w:rsidRPr="005B5254" w:rsidRDefault="005B5254" w:rsidP="005B5254">
      <w:pPr>
        <w:pStyle w:val="my-2"/>
        <w:numPr>
          <w:ilvl w:val="0"/>
          <w:numId w:val="15"/>
        </w:numPr>
        <w:rPr>
          <w:sz w:val="22"/>
          <w:szCs w:val="22"/>
        </w:rPr>
      </w:pPr>
      <w:hyperlink r:id="rId69" w:tgtFrame="_blank" w:history="1">
        <w:r w:rsidRPr="005B5254">
          <w:rPr>
            <w:rStyle w:val="Hyperlink"/>
            <w:rFonts w:eastAsiaTheme="majorEastAsia"/>
            <w:sz w:val="22"/>
            <w:szCs w:val="22"/>
          </w:rPr>
          <w:t xml:space="preserve">Yahoo </w:t>
        </w:r>
        <w:proofErr w:type="spellStart"/>
        <w:r w:rsidRPr="005B5254">
          <w:rPr>
            <w:rStyle w:val="Hyperlink"/>
            <w:rFonts w:eastAsiaTheme="majorEastAsia"/>
            <w:sz w:val="22"/>
            <w:szCs w:val="22"/>
          </w:rPr>
          <w:t>Finance</w:t>
        </w:r>
      </w:hyperlink>
      <w:hyperlink r:id="rId70" w:tgtFrame="_blank" w:history="1">
        <w:r w:rsidRPr="005B5254">
          <w:rPr>
            <w:rStyle w:val="relative"/>
            <w:rFonts w:eastAsiaTheme="majorEastAsia"/>
            <w:color w:val="0000FF"/>
            <w:sz w:val="22"/>
            <w:szCs w:val="22"/>
            <w:u w:val="single"/>
          </w:rPr>
          <w:t>finance.yahoo</w:t>
        </w:r>
        <w:proofErr w:type="spellEnd"/>
      </w:hyperlink>
    </w:p>
    <w:p w14:paraId="40B79292" w14:textId="77777777" w:rsidR="005B5254" w:rsidRPr="005B5254" w:rsidRDefault="005B5254" w:rsidP="005B5254">
      <w:pPr>
        <w:pStyle w:val="my-2"/>
        <w:numPr>
          <w:ilvl w:val="0"/>
          <w:numId w:val="15"/>
        </w:numPr>
        <w:rPr>
          <w:sz w:val="22"/>
          <w:szCs w:val="22"/>
        </w:rPr>
      </w:pPr>
      <w:hyperlink r:id="rId71" w:tgtFrame="_blank" w:history="1">
        <w:proofErr w:type="spellStart"/>
        <w:r w:rsidRPr="005B5254">
          <w:rPr>
            <w:rStyle w:val="Hyperlink"/>
            <w:rFonts w:eastAsiaTheme="majorEastAsia"/>
            <w:sz w:val="22"/>
            <w:szCs w:val="22"/>
          </w:rPr>
          <w:t>TradingView</w:t>
        </w:r>
        <w:proofErr w:type="spellEnd"/>
        <w:r w:rsidRPr="005B5254">
          <w:rPr>
            <w:rStyle w:val="Hyperlink"/>
            <w:rFonts w:eastAsiaTheme="majorEastAsia"/>
            <w:sz w:val="22"/>
            <w:szCs w:val="22"/>
          </w:rPr>
          <w:t xml:space="preserve"> </w:t>
        </w:r>
        <w:proofErr w:type="spellStart"/>
        <w:r w:rsidRPr="005B5254">
          <w:rPr>
            <w:rStyle w:val="Hyperlink"/>
            <w:rFonts w:eastAsiaTheme="majorEastAsia"/>
            <w:sz w:val="22"/>
            <w:szCs w:val="22"/>
          </w:rPr>
          <w:t>Forecasts</w:t>
        </w:r>
      </w:hyperlink>
      <w:hyperlink r:id="rId72" w:tgtFrame="_blank" w:history="1">
        <w:r w:rsidRPr="005B5254">
          <w:rPr>
            <w:rStyle w:val="relative"/>
            <w:rFonts w:eastAsiaTheme="majorEastAsia"/>
            <w:color w:val="0000FF"/>
            <w:sz w:val="22"/>
            <w:szCs w:val="22"/>
            <w:u w:val="single"/>
          </w:rPr>
          <w:t>tradingview</w:t>
        </w:r>
        <w:proofErr w:type="spellEnd"/>
      </w:hyperlink>
    </w:p>
    <w:p w14:paraId="5D7ED177" w14:textId="77777777" w:rsidR="005B5254" w:rsidRPr="005B5254" w:rsidRDefault="005B5254" w:rsidP="005B5254">
      <w:pPr>
        <w:pStyle w:val="my-2"/>
        <w:numPr>
          <w:ilvl w:val="0"/>
          <w:numId w:val="15"/>
        </w:numPr>
        <w:rPr>
          <w:sz w:val="22"/>
          <w:szCs w:val="22"/>
        </w:rPr>
      </w:pPr>
      <w:hyperlink r:id="rId73" w:tgtFrame="_blank" w:history="1">
        <w:r w:rsidRPr="005B5254">
          <w:rPr>
            <w:rStyle w:val="Hyperlink"/>
            <w:rFonts w:eastAsiaTheme="majorEastAsia"/>
            <w:sz w:val="22"/>
            <w:szCs w:val="22"/>
          </w:rPr>
          <w:t>Industry and Company News</w:t>
        </w:r>
      </w:hyperlink>
      <w:hyperlink r:id="rId74" w:tgtFrame="_blank" w:history="1">
        <w:r w:rsidRPr="005B5254">
          <w:rPr>
            <w:rStyle w:val="relative"/>
            <w:rFonts w:eastAsiaTheme="majorEastAsia"/>
            <w:color w:val="0000FF"/>
            <w:sz w:val="22"/>
            <w:szCs w:val="22"/>
            <w:u w:val="single"/>
          </w:rPr>
          <w:t>news.10jqka</w:t>
        </w:r>
      </w:hyperlink>
    </w:p>
    <w:p w14:paraId="6536A7AE" w14:textId="77777777" w:rsidR="005B5254" w:rsidRPr="005B5254" w:rsidRDefault="005B5254" w:rsidP="005B5254">
      <w:pPr>
        <w:pStyle w:val="my-2"/>
        <w:numPr>
          <w:ilvl w:val="0"/>
          <w:numId w:val="15"/>
        </w:numPr>
        <w:rPr>
          <w:sz w:val="22"/>
          <w:szCs w:val="22"/>
        </w:rPr>
      </w:pPr>
      <w:hyperlink r:id="rId75" w:tgtFrame="_blank" w:history="1">
        <w:r w:rsidRPr="005B5254">
          <w:rPr>
            <w:rStyle w:val="Hyperlink"/>
            <w:rFonts w:eastAsiaTheme="majorEastAsia"/>
            <w:sz w:val="22"/>
            <w:szCs w:val="22"/>
          </w:rPr>
          <w:t xml:space="preserve">Investing.com Valuation </w:t>
        </w:r>
        <w:proofErr w:type="spellStart"/>
        <w:r w:rsidRPr="005B5254">
          <w:rPr>
            <w:rStyle w:val="Hyperlink"/>
            <w:rFonts w:eastAsiaTheme="majorEastAsia"/>
            <w:sz w:val="22"/>
            <w:szCs w:val="22"/>
          </w:rPr>
          <w:t>Table</w:t>
        </w:r>
      </w:hyperlink>
      <w:hyperlink r:id="rId76" w:tgtFrame="_blank" w:history="1">
        <w:r w:rsidRPr="005B5254">
          <w:rPr>
            <w:rStyle w:val="relative"/>
            <w:rFonts w:eastAsiaTheme="majorEastAsia"/>
            <w:color w:val="0000FF"/>
            <w:sz w:val="22"/>
            <w:szCs w:val="22"/>
            <w:u w:val="single"/>
          </w:rPr>
          <w:t>investing</w:t>
        </w:r>
        <w:proofErr w:type="spellEnd"/>
      </w:hyperlink>
    </w:p>
    <w:p w14:paraId="7CCBBC29" w14:textId="77777777" w:rsidR="005B5254" w:rsidRPr="005B5254" w:rsidRDefault="005B5254" w:rsidP="005B5254">
      <w:pPr>
        <w:pStyle w:val="my-2"/>
        <w:numPr>
          <w:ilvl w:val="0"/>
          <w:numId w:val="15"/>
        </w:numPr>
        <w:rPr>
          <w:sz w:val="22"/>
          <w:szCs w:val="22"/>
        </w:rPr>
      </w:pPr>
      <w:r w:rsidRPr="005B5254">
        <w:rPr>
          <w:sz w:val="22"/>
          <w:szCs w:val="22"/>
        </w:rPr>
        <w:t>[SPG China Ratings, Bloomberg, Reuters, Futu, CNBC]</w:t>
      </w:r>
      <w:hyperlink r:id="rId77" w:tgtFrame="_blank" w:history="1">
        <w:r w:rsidRPr="005B5254">
          <w:rPr>
            <w:rStyle w:val="relative"/>
            <w:rFonts w:eastAsiaTheme="majorEastAsia"/>
            <w:color w:val="0000FF"/>
            <w:sz w:val="22"/>
            <w:szCs w:val="22"/>
            <w:u w:val="single"/>
          </w:rPr>
          <w:t>reuters</w:t>
        </w:r>
        <w:r w:rsidRPr="005B5254">
          <w:rPr>
            <w:rStyle w:val="opacity-50"/>
            <w:color w:val="0000FF"/>
            <w:sz w:val="22"/>
            <w:szCs w:val="22"/>
            <w:u w:val="single"/>
          </w:rPr>
          <w:t>+4</w:t>
        </w:r>
      </w:hyperlink>
    </w:p>
    <w:p w14:paraId="2EFE7E10" w14:textId="77777777" w:rsidR="005B5254" w:rsidRPr="005B5254" w:rsidRDefault="005B5254" w:rsidP="005B5254">
      <w:pPr>
        <w:rPr>
          <w:sz w:val="22"/>
          <w:szCs w:val="22"/>
        </w:rPr>
      </w:pPr>
      <w:r w:rsidRPr="005B5254">
        <w:rPr>
          <w:sz w:val="22"/>
          <w:szCs w:val="22"/>
        </w:rPr>
        <w:t>&lt;/markdown&gt;</w:t>
      </w:r>
    </w:p>
    <w:p w14:paraId="7436E761"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78" w:history="1">
        <w:r w:rsidRPr="005B5254">
          <w:rPr>
            <w:rStyle w:val="Hyperlink"/>
            <w:sz w:val="22"/>
            <w:szCs w:val="22"/>
          </w:rPr>
          <w:t>https://valueinvesting.io/600415.SS/estimates</w:t>
        </w:r>
      </w:hyperlink>
    </w:p>
    <w:p w14:paraId="79575D96"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79" w:history="1">
        <w:r w:rsidRPr="005B5254">
          <w:rPr>
            <w:rStyle w:val="Hyperlink"/>
            <w:sz w:val="22"/>
            <w:szCs w:val="22"/>
          </w:rPr>
          <w:t>https://www.reuters.com/markets/companies/600415.ss</w:t>
        </w:r>
      </w:hyperlink>
    </w:p>
    <w:p w14:paraId="27AE2C52"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0" w:history="1">
        <w:r w:rsidRPr="005B5254">
          <w:rPr>
            <w:rStyle w:val="Hyperlink"/>
            <w:sz w:val="22"/>
            <w:szCs w:val="22"/>
          </w:rPr>
          <w:t>https://finance.yahoo.com/news/asian-market-value-stocks-zhejiang-043749788.html</w:t>
        </w:r>
      </w:hyperlink>
    </w:p>
    <w:p w14:paraId="5FE6FDC2"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1" w:history="1">
        <w:r w:rsidRPr="005B5254">
          <w:rPr>
            <w:rStyle w:val="Hyperlink"/>
            <w:sz w:val="22"/>
            <w:szCs w:val="22"/>
          </w:rPr>
          <w:t>https://www.reuters.com/markets/companies/600415.SS/</w:t>
        </w:r>
      </w:hyperlink>
    </w:p>
    <w:p w14:paraId="3BA1EF9E"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2" w:history="1">
        <w:r w:rsidRPr="005B5254">
          <w:rPr>
            <w:rStyle w:val="Hyperlink"/>
            <w:sz w:val="22"/>
            <w:szCs w:val="22"/>
          </w:rPr>
          <w:t>https://www.morningstar.com.au/investments/security/SHSE/600415</w:t>
        </w:r>
      </w:hyperlink>
    </w:p>
    <w:p w14:paraId="4E7248B4"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3" w:history="1">
        <w:r w:rsidRPr="005B5254">
          <w:rPr>
            <w:rStyle w:val="Hyperlink"/>
            <w:sz w:val="22"/>
            <w:szCs w:val="22"/>
          </w:rPr>
          <w:t>https://www.tradingview.com/symbols/SSE-600415/forecast/</w:t>
        </w:r>
      </w:hyperlink>
    </w:p>
    <w:p w14:paraId="115C0619"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4" w:history="1">
        <w:r w:rsidRPr="005B5254">
          <w:rPr>
            <w:rStyle w:val="Hyperlink"/>
            <w:sz w:val="22"/>
            <w:szCs w:val="22"/>
          </w:rPr>
          <w:t>https://www.futunn.com/en/stock/600415-SH/forecast</w:t>
        </w:r>
      </w:hyperlink>
    </w:p>
    <w:p w14:paraId="1262A55B"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5" w:history="1">
        <w:r w:rsidRPr="005B5254">
          <w:rPr>
            <w:rStyle w:val="Hyperlink"/>
            <w:sz w:val="22"/>
            <w:szCs w:val="22"/>
          </w:rPr>
          <w:t>https://qa.ali.spgchinaratings.cn/en/ratings/pdf/20250617_zhejiang-china-commodities-city-group_en.pdf</w:t>
        </w:r>
      </w:hyperlink>
    </w:p>
    <w:p w14:paraId="6D6E5757"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6" w:history="1">
        <w:r w:rsidRPr="005B5254">
          <w:rPr>
            <w:rStyle w:val="Hyperlink"/>
            <w:sz w:val="22"/>
            <w:szCs w:val="22"/>
          </w:rPr>
          <w:t>https://dcfmodeling.com/blogs/vision/600415ss-mission-vision</w:t>
        </w:r>
      </w:hyperlink>
    </w:p>
    <w:p w14:paraId="3D19A927"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7" w:history="1">
        <w:r w:rsidRPr="005B5254">
          <w:rPr>
            <w:rStyle w:val="Hyperlink"/>
            <w:sz w:val="22"/>
            <w:szCs w:val="22"/>
          </w:rPr>
          <w:t>http://money.finance.sina.com.cn/corp/view/vCB_AllBulletinDetail.php?stockid=600415&amp;id=10846188</w:t>
        </w:r>
      </w:hyperlink>
    </w:p>
    <w:p w14:paraId="1C7B2373"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8" w:history="1">
        <w:r w:rsidRPr="005B5254">
          <w:rPr>
            <w:rStyle w:val="Hyperlink"/>
            <w:sz w:val="22"/>
            <w:szCs w:val="22"/>
          </w:rPr>
          <w:t>https://www.investing.com/equities/commo-city</w:t>
        </w:r>
      </w:hyperlink>
    </w:p>
    <w:p w14:paraId="3B0BA3EE"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89" w:history="1">
        <w:r w:rsidRPr="005B5254">
          <w:rPr>
            <w:rStyle w:val="Hyperlink"/>
            <w:sz w:val="22"/>
            <w:szCs w:val="22"/>
          </w:rPr>
          <w:t>https://www.bloomberg.com/profile/company/600415:CH</w:t>
        </w:r>
      </w:hyperlink>
    </w:p>
    <w:p w14:paraId="489CC14B"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0" w:history="1">
        <w:r w:rsidRPr="005B5254">
          <w:rPr>
            <w:rStyle w:val="Hyperlink"/>
            <w:sz w:val="22"/>
            <w:szCs w:val="22"/>
          </w:rPr>
          <w:t>https://finance.yahoo.com/quote/600415.SS/</w:t>
        </w:r>
      </w:hyperlink>
    </w:p>
    <w:p w14:paraId="40B0404C"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1" w:history="1">
        <w:r w:rsidRPr="005B5254">
          <w:rPr>
            <w:rStyle w:val="Hyperlink"/>
            <w:sz w:val="22"/>
            <w:szCs w:val="22"/>
          </w:rPr>
          <w:t>http://news.10jqka.com.cn/field/sn/20250829/53953669.shtml</w:t>
        </w:r>
      </w:hyperlink>
    </w:p>
    <w:p w14:paraId="449F8C95"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2" w:history="1">
        <w:r w:rsidRPr="005B5254">
          <w:rPr>
            <w:rStyle w:val="Hyperlink"/>
            <w:sz w:val="22"/>
            <w:szCs w:val="22"/>
          </w:rPr>
          <w:t>https://www.cnbc.com/quotes/600415.SS</w:t>
        </w:r>
      </w:hyperlink>
    </w:p>
    <w:p w14:paraId="37E11C54"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3" w:history="1">
        <w:r w:rsidRPr="005B5254">
          <w:rPr>
            <w:rStyle w:val="Hyperlink"/>
            <w:sz w:val="22"/>
            <w:szCs w:val="22"/>
          </w:rPr>
          <w:t>https://uk.finance.yahoo.com/quote/600415.SS/analysis</w:t>
        </w:r>
      </w:hyperlink>
    </w:p>
    <w:p w14:paraId="52088114"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4" w:history="1">
        <w:r w:rsidRPr="005B5254">
          <w:rPr>
            <w:rStyle w:val="Hyperlink"/>
            <w:sz w:val="22"/>
            <w:szCs w:val="22"/>
          </w:rPr>
          <w:t>https://cbonds.com/bonds/1769121/</w:t>
        </w:r>
      </w:hyperlink>
    </w:p>
    <w:p w14:paraId="2B4CCFCE"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5" w:history="1">
        <w:r w:rsidRPr="005B5254">
          <w:rPr>
            <w:rStyle w:val="Hyperlink"/>
            <w:sz w:val="22"/>
            <w:szCs w:val="22"/>
          </w:rPr>
          <w:t>https://corp.shiseido.com/en/ir/</w:t>
        </w:r>
      </w:hyperlink>
    </w:p>
    <w:p w14:paraId="3CCCEF1F"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6" w:history="1">
        <w:r w:rsidRPr="005B5254">
          <w:rPr>
            <w:rStyle w:val="Hyperlink"/>
            <w:sz w:val="22"/>
            <w:szCs w:val="22"/>
          </w:rPr>
          <w:t>https://www.quiverquant.com/news/New+Analyst+Forecast:+$COST+Given+$1100.0+Price+Target</w:t>
        </w:r>
      </w:hyperlink>
    </w:p>
    <w:p w14:paraId="1CFE5793" w14:textId="77777777" w:rsidR="005B5254" w:rsidRPr="005B5254" w:rsidRDefault="005B5254" w:rsidP="005B5254">
      <w:pPr>
        <w:numPr>
          <w:ilvl w:val="0"/>
          <w:numId w:val="16"/>
        </w:numPr>
        <w:spacing w:before="100" w:beforeAutospacing="1" w:after="100" w:afterAutospacing="1" w:line="240" w:lineRule="auto"/>
        <w:rPr>
          <w:sz w:val="22"/>
          <w:szCs w:val="22"/>
        </w:rPr>
      </w:pPr>
      <w:hyperlink r:id="rId97" w:history="1">
        <w:r w:rsidRPr="005B5254">
          <w:rPr>
            <w:rStyle w:val="Hyperlink"/>
            <w:sz w:val="22"/>
            <w:szCs w:val="22"/>
          </w:rPr>
          <w:t>https://investors.tanger.inc/reports-and-filings/sec-filings/content/0000899715-24-000079/0000899715-24-000079.pdf</w:t>
        </w:r>
      </w:hyperlink>
    </w:p>
    <w:p w14:paraId="28BE7B89" w14:textId="77777777" w:rsidR="00A71F00" w:rsidRPr="005B5254" w:rsidRDefault="00A71F00">
      <w:pPr>
        <w:rPr>
          <w:sz w:val="22"/>
          <w:szCs w:val="22"/>
        </w:rPr>
      </w:pPr>
    </w:p>
    <w:sectPr w:rsidR="00A71F00" w:rsidRPr="005B5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40239"/>
    <w:multiLevelType w:val="multilevel"/>
    <w:tmpl w:val="0BCA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D448D"/>
    <w:multiLevelType w:val="multilevel"/>
    <w:tmpl w:val="0C0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67AE"/>
    <w:multiLevelType w:val="multilevel"/>
    <w:tmpl w:val="BA9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81D6B"/>
    <w:multiLevelType w:val="multilevel"/>
    <w:tmpl w:val="787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C3208"/>
    <w:multiLevelType w:val="multilevel"/>
    <w:tmpl w:val="211A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564D0"/>
    <w:multiLevelType w:val="multilevel"/>
    <w:tmpl w:val="AF7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43B61"/>
    <w:multiLevelType w:val="multilevel"/>
    <w:tmpl w:val="8658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C6A48"/>
    <w:multiLevelType w:val="multilevel"/>
    <w:tmpl w:val="24B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C3F3F"/>
    <w:multiLevelType w:val="multilevel"/>
    <w:tmpl w:val="23C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33858"/>
    <w:multiLevelType w:val="multilevel"/>
    <w:tmpl w:val="B2DA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425B8"/>
    <w:multiLevelType w:val="multilevel"/>
    <w:tmpl w:val="896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46EDF"/>
    <w:multiLevelType w:val="multilevel"/>
    <w:tmpl w:val="561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44C49"/>
    <w:multiLevelType w:val="multilevel"/>
    <w:tmpl w:val="B04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D4D4A"/>
    <w:multiLevelType w:val="multilevel"/>
    <w:tmpl w:val="9E6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F1ABB"/>
    <w:multiLevelType w:val="multilevel"/>
    <w:tmpl w:val="4E0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340AE"/>
    <w:multiLevelType w:val="multilevel"/>
    <w:tmpl w:val="30B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232054">
    <w:abstractNumId w:val="4"/>
  </w:num>
  <w:num w:numId="2" w16cid:durableId="1869289661">
    <w:abstractNumId w:val="12"/>
  </w:num>
  <w:num w:numId="3" w16cid:durableId="752896455">
    <w:abstractNumId w:val="6"/>
  </w:num>
  <w:num w:numId="4" w16cid:durableId="342127530">
    <w:abstractNumId w:val="1"/>
  </w:num>
  <w:num w:numId="5" w16cid:durableId="2035760822">
    <w:abstractNumId w:val="0"/>
  </w:num>
  <w:num w:numId="6" w16cid:durableId="56902497">
    <w:abstractNumId w:val="15"/>
  </w:num>
  <w:num w:numId="7" w16cid:durableId="612707212">
    <w:abstractNumId w:val="3"/>
  </w:num>
  <w:num w:numId="8" w16cid:durableId="1595745420">
    <w:abstractNumId w:val="8"/>
  </w:num>
  <w:num w:numId="9" w16cid:durableId="1421831553">
    <w:abstractNumId w:val="10"/>
  </w:num>
  <w:num w:numId="10" w16cid:durableId="357238305">
    <w:abstractNumId w:val="5"/>
  </w:num>
  <w:num w:numId="11" w16cid:durableId="409545333">
    <w:abstractNumId w:val="11"/>
  </w:num>
  <w:num w:numId="12" w16cid:durableId="607081563">
    <w:abstractNumId w:val="13"/>
  </w:num>
  <w:num w:numId="13" w16cid:durableId="304747314">
    <w:abstractNumId w:val="14"/>
  </w:num>
  <w:num w:numId="14" w16cid:durableId="26368996">
    <w:abstractNumId w:val="2"/>
  </w:num>
  <w:num w:numId="15" w16cid:durableId="236482188">
    <w:abstractNumId w:val="7"/>
  </w:num>
  <w:num w:numId="16" w16cid:durableId="1201823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54"/>
    <w:rsid w:val="00072FAD"/>
    <w:rsid w:val="00137A7A"/>
    <w:rsid w:val="005B5254"/>
    <w:rsid w:val="00A71F00"/>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8F03"/>
  <w15:chartTrackingRefBased/>
  <w15:docId w15:val="{F921CB1F-18E7-4BBB-8245-4CC2CB55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254"/>
    <w:rPr>
      <w:rFonts w:eastAsiaTheme="majorEastAsia" w:cstheme="majorBidi"/>
      <w:color w:val="272727" w:themeColor="text1" w:themeTint="D8"/>
    </w:rPr>
  </w:style>
  <w:style w:type="paragraph" w:styleId="Title">
    <w:name w:val="Title"/>
    <w:basedOn w:val="Normal"/>
    <w:next w:val="Normal"/>
    <w:link w:val="TitleChar"/>
    <w:uiPriority w:val="10"/>
    <w:qFormat/>
    <w:rsid w:val="005B5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254"/>
    <w:pPr>
      <w:spacing w:before="160"/>
      <w:jc w:val="center"/>
    </w:pPr>
    <w:rPr>
      <w:i/>
      <w:iCs/>
      <w:color w:val="404040" w:themeColor="text1" w:themeTint="BF"/>
    </w:rPr>
  </w:style>
  <w:style w:type="character" w:customStyle="1" w:styleId="QuoteChar">
    <w:name w:val="Quote Char"/>
    <w:basedOn w:val="DefaultParagraphFont"/>
    <w:link w:val="Quote"/>
    <w:uiPriority w:val="29"/>
    <w:rsid w:val="005B5254"/>
    <w:rPr>
      <w:i/>
      <w:iCs/>
      <w:color w:val="404040" w:themeColor="text1" w:themeTint="BF"/>
    </w:rPr>
  </w:style>
  <w:style w:type="paragraph" w:styleId="ListParagraph">
    <w:name w:val="List Paragraph"/>
    <w:basedOn w:val="Normal"/>
    <w:uiPriority w:val="34"/>
    <w:qFormat/>
    <w:rsid w:val="005B5254"/>
    <w:pPr>
      <w:ind w:left="720"/>
      <w:contextualSpacing/>
    </w:pPr>
  </w:style>
  <w:style w:type="character" w:styleId="IntenseEmphasis">
    <w:name w:val="Intense Emphasis"/>
    <w:basedOn w:val="DefaultParagraphFont"/>
    <w:uiPriority w:val="21"/>
    <w:qFormat/>
    <w:rsid w:val="005B5254"/>
    <w:rPr>
      <w:i/>
      <w:iCs/>
      <w:color w:val="0F4761" w:themeColor="accent1" w:themeShade="BF"/>
    </w:rPr>
  </w:style>
  <w:style w:type="paragraph" w:styleId="IntenseQuote">
    <w:name w:val="Intense Quote"/>
    <w:basedOn w:val="Normal"/>
    <w:next w:val="Normal"/>
    <w:link w:val="IntenseQuoteChar"/>
    <w:uiPriority w:val="30"/>
    <w:qFormat/>
    <w:rsid w:val="005B5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254"/>
    <w:rPr>
      <w:i/>
      <w:iCs/>
      <w:color w:val="0F4761" w:themeColor="accent1" w:themeShade="BF"/>
    </w:rPr>
  </w:style>
  <w:style w:type="character" w:styleId="IntenseReference">
    <w:name w:val="Intense Reference"/>
    <w:basedOn w:val="DefaultParagraphFont"/>
    <w:uiPriority w:val="32"/>
    <w:qFormat/>
    <w:rsid w:val="005B5254"/>
    <w:rPr>
      <w:b/>
      <w:bCs/>
      <w:smallCaps/>
      <w:color w:val="0F4761" w:themeColor="accent1" w:themeShade="BF"/>
      <w:spacing w:val="5"/>
    </w:rPr>
  </w:style>
  <w:style w:type="paragraph" w:customStyle="1" w:styleId="my-2">
    <w:name w:val="my-2"/>
    <w:basedOn w:val="Normal"/>
    <w:rsid w:val="005B52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5254"/>
    <w:rPr>
      <w:b/>
      <w:bCs/>
    </w:rPr>
  </w:style>
  <w:style w:type="character" w:customStyle="1" w:styleId="citation">
    <w:name w:val="citation"/>
    <w:basedOn w:val="DefaultParagraphFont"/>
    <w:rsid w:val="005B5254"/>
  </w:style>
  <w:style w:type="character" w:styleId="Hyperlink">
    <w:name w:val="Hyperlink"/>
    <w:basedOn w:val="DefaultParagraphFont"/>
    <w:uiPriority w:val="99"/>
    <w:semiHidden/>
    <w:unhideWhenUsed/>
    <w:rsid w:val="005B5254"/>
    <w:rPr>
      <w:color w:val="0000FF"/>
      <w:u w:val="single"/>
    </w:rPr>
  </w:style>
  <w:style w:type="character" w:customStyle="1" w:styleId="relative">
    <w:name w:val="relative"/>
    <w:basedOn w:val="DefaultParagraphFont"/>
    <w:rsid w:val="005B5254"/>
  </w:style>
  <w:style w:type="character" w:customStyle="1" w:styleId="opacity-50">
    <w:name w:val="opacity-50"/>
    <w:basedOn w:val="DefaultParagraphFont"/>
    <w:rsid w:val="005B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alueinvesting.io/600415.SS/estimates" TargetMode="External"/><Relationship Id="rId21" Type="http://schemas.openxmlformats.org/officeDocument/2006/relationships/hyperlink" Target="https://qa.ali.spgchinaratings.cn/en/ratings/pdf/20250617_zhejiang-china-commodities-city-group_en.pdf" TargetMode="External"/><Relationship Id="rId42" Type="http://schemas.openxmlformats.org/officeDocument/2006/relationships/hyperlink" Target="https://qa.ali.spgchinaratings.cn/en/ratings/pdf/20250617_zhejiang-china-commodities-city-group_en.pdf" TargetMode="External"/><Relationship Id="rId47" Type="http://schemas.openxmlformats.org/officeDocument/2006/relationships/hyperlink" Target="https://www.futunn.com/en/stock/600415-SH/forecast" TargetMode="External"/><Relationship Id="rId63" Type="http://schemas.openxmlformats.org/officeDocument/2006/relationships/hyperlink" Target="http://money.finance.sina.com.cn/corp/view/vCB_AllBulletinDetail.php?stockid=600415&amp;id=10846188" TargetMode="External"/><Relationship Id="rId68" Type="http://schemas.openxmlformats.org/officeDocument/2006/relationships/hyperlink" Target="https://valueinvesting.io/600415.SS/estimates" TargetMode="External"/><Relationship Id="rId84" Type="http://schemas.openxmlformats.org/officeDocument/2006/relationships/hyperlink" Target="https://www.futunn.com/en/stock/600415-SH/forecast" TargetMode="External"/><Relationship Id="rId89" Type="http://schemas.openxmlformats.org/officeDocument/2006/relationships/hyperlink" Target="https://www.bloomberg.com/profile/company/600415:CH" TargetMode="External"/><Relationship Id="rId16" Type="http://schemas.openxmlformats.org/officeDocument/2006/relationships/hyperlink" Target="https://dcfmodeling.com/blogs/vision/600415ss-mission-vision" TargetMode="External"/><Relationship Id="rId11" Type="http://schemas.openxmlformats.org/officeDocument/2006/relationships/hyperlink" Target="https://qa.ali.spgchinaratings.cn/en/ratings/pdf/20250617_zhejiang-china-commodities-city-group_en.pdf" TargetMode="External"/><Relationship Id="rId32" Type="http://schemas.openxmlformats.org/officeDocument/2006/relationships/hyperlink" Target="https://www.tradingview.com/symbols/SSE-600415/forecast/" TargetMode="External"/><Relationship Id="rId37" Type="http://schemas.openxmlformats.org/officeDocument/2006/relationships/hyperlink" Target="https://qa.ali.spgchinaratings.cn/en/ratings/pdf/20250617_zhejiang-china-commodities-city-group_en.pdf" TargetMode="External"/><Relationship Id="rId53" Type="http://schemas.openxmlformats.org/officeDocument/2006/relationships/hyperlink" Target="https://qa.ali.spgchinaratings.cn/en/ratings/pdf/20250617_zhejiang-china-commodities-city-group_en.pdf" TargetMode="External"/><Relationship Id="rId58" Type="http://schemas.openxmlformats.org/officeDocument/2006/relationships/hyperlink" Target="https://qa.ali.spgchinaratings.cn/en/ratings/pdf/20250617_zhejiang-china-commodities-city-group_en.pdf" TargetMode="External"/><Relationship Id="rId74" Type="http://schemas.openxmlformats.org/officeDocument/2006/relationships/hyperlink" Target="http://news.10jqka.com.cn/field/sn/20250829/53953669.shtml" TargetMode="External"/><Relationship Id="rId79" Type="http://schemas.openxmlformats.org/officeDocument/2006/relationships/hyperlink" Target="https://www.reuters.com/markets/companies/600415.ss" TargetMode="External"/><Relationship Id="rId5" Type="http://schemas.openxmlformats.org/officeDocument/2006/relationships/hyperlink" Target="https://valueinvesting.io/600415.SS/estimates" TargetMode="External"/><Relationship Id="rId90" Type="http://schemas.openxmlformats.org/officeDocument/2006/relationships/hyperlink" Target="https://finance.yahoo.com/quote/600415.SS/" TargetMode="External"/><Relationship Id="rId95" Type="http://schemas.openxmlformats.org/officeDocument/2006/relationships/hyperlink" Target="https://corp.shiseido.com/en/ir/" TargetMode="External"/><Relationship Id="rId22" Type="http://schemas.openxmlformats.org/officeDocument/2006/relationships/hyperlink" Target="https://qa.ali.spgchinaratings.cn/en/ratings/pdf/20250617_zhejiang-china-commodities-city-group_en.pdf" TargetMode="External"/><Relationship Id="rId27" Type="http://schemas.openxmlformats.org/officeDocument/2006/relationships/hyperlink" Target="https://qa.ali.spgchinaratings.cn/en/ratings/pdf/20250617_zhejiang-china-commodities-city-group_en.pdf" TargetMode="External"/><Relationship Id="rId43" Type="http://schemas.openxmlformats.org/officeDocument/2006/relationships/hyperlink" Target="https://qa.ali.spgchinaratings.cn/en/ratings/pdf/20250617_zhejiang-china-commodities-city-group_en.pdf" TargetMode="External"/><Relationship Id="rId48" Type="http://schemas.openxmlformats.org/officeDocument/2006/relationships/hyperlink" Target="https://valueinvesting.io/600415.SS/estimates" TargetMode="External"/><Relationship Id="rId64" Type="http://schemas.openxmlformats.org/officeDocument/2006/relationships/hyperlink" Target="http://money.finance.sina.com.cn/corp/view/vCB_AllBulletinDetail.php?stockid=600415&amp;id=10846188" TargetMode="External"/><Relationship Id="rId69" Type="http://schemas.openxmlformats.org/officeDocument/2006/relationships/hyperlink" Target="https://finance.yahoo.com/quote/600415.SS/" TargetMode="External"/><Relationship Id="rId80" Type="http://schemas.openxmlformats.org/officeDocument/2006/relationships/hyperlink" Target="https://finance.yahoo.com/news/asian-market-value-stocks-zhejiang-043749788.html" TargetMode="External"/><Relationship Id="rId85" Type="http://schemas.openxmlformats.org/officeDocument/2006/relationships/hyperlink" Target="https://qa.ali.spgchinaratings.cn/en/ratings/pdf/20250617_zhejiang-china-commodities-city-group_en.pdf" TargetMode="External"/><Relationship Id="rId3" Type="http://schemas.openxmlformats.org/officeDocument/2006/relationships/settings" Target="settings.xml"/><Relationship Id="rId12" Type="http://schemas.openxmlformats.org/officeDocument/2006/relationships/hyperlink" Target="https://dcfmodeling.com/blogs/vision/600415ss-mission-vision" TargetMode="External"/><Relationship Id="rId17" Type="http://schemas.openxmlformats.org/officeDocument/2006/relationships/hyperlink" Target="https://qa.ali.spgchinaratings.cn/en/ratings/pdf/20250617_zhejiang-china-commodities-city-group_en.pdf" TargetMode="External"/><Relationship Id="rId25" Type="http://schemas.openxmlformats.org/officeDocument/2006/relationships/hyperlink" Target="https://qa.ali.spgchinaratings.cn/en/ratings/pdf/20250617_zhejiang-china-commodities-city-group_en.pdf" TargetMode="External"/><Relationship Id="rId33" Type="http://schemas.openxmlformats.org/officeDocument/2006/relationships/hyperlink" Target="https://dcfmodeling.com/blogs/vision/600415ss-mission-vision" TargetMode="External"/><Relationship Id="rId38" Type="http://schemas.openxmlformats.org/officeDocument/2006/relationships/hyperlink" Target="https://qa.ali.spgchinaratings.cn/en/ratings/pdf/20250617_zhejiang-china-commodities-city-group_en.pdf" TargetMode="External"/><Relationship Id="rId46" Type="http://schemas.openxmlformats.org/officeDocument/2006/relationships/hyperlink" Target="https://dcfmodeling.com/blogs/vision/600415ss-mission-vision" TargetMode="External"/><Relationship Id="rId59" Type="http://schemas.openxmlformats.org/officeDocument/2006/relationships/hyperlink" Target="https://qa.ali.spgchinaratings.cn/en/ratings/pdf/20250617_zhejiang-china-commodities-city-group_en.pdf" TargetMode="External"/><Relationship Id="rId67" Type="http://schemas.openxmlformats.org/officeDocument/2006/relationships/hyperlink" Target="https://valueinvesting.io/600415.SS/estimates" TargetMode="External"/><Relationship Id="rId20" Type="http://schemas.openxmlformats.org/officeDocument/2006/relationships/hyperlink" Target="https://valueinvesting.io/600415.SS/estimates" TargetMode="External"/><Relationship Id="rId41" Type="http://schemas.openxmlformats.org/officeDocument/2006/relationships/hyperlink" Target="https://qa.ali.spgchinaratings.cn/en/ratings/pdf/20250617_zhejiang-china-commodities-city-group_en.pdf" TargetMode="External"/><Relationship Id="rId54" Type="http://schemas.openxmlformats.org/officeDocument/2006/relationships/hyperlink" Target="https://www.tradingview.com/symbols/SSE-600415/forecast/" TargetMode="External"/><Relationship Id="rId62" Type="http://schemas.openxmlformats.org/officeDocument/2006/relationships/hyperlink" Target="https://qa.ali.spgchinaratings.cn/en/ratings/pdf/20250617_zhejiang-china-commodities-city-group_en.pdf" TargetMode="External"/><Relationship Id="rId70" Type="http://schemas.openxmlformats.org/officeDocument/2006/relationships/hyperlink" Target="https://finance.yahoo.com/quote/600415.SS/" TargetMode="External"/><Relationship Id="rId75" Type="http://schemas.openxmlformats.org/officeDocument/2006/relationships/hyperlink" Target="https://www.investing.com/equities/commo-city" TargetMode="External"/><Relationship Id="rId83" Type="http://schemas.openxmlformats.org/officeDocument/2006/relationships/hyperlink" Target="https://www.tradingview.com/symbols/SSE-600415/forecast/" TargetMode="External"/><Relationship Id="rId88" Type="http://schemas.openxmlformats.org/officeDocument/2006/relationships/hyperlink" Target="https://www.investing.com/equities/commo-city" TargetMode="External"/><Relationship Id="rId91" Type="http://schemas.openxmlformats.org/officeDocument/2006/relationships/hyperlink" Target="http://news.10jqka.com.cn/field/sn/20250829/53953669.shtml" TargetMode="External"/><Relationship Id="rId96" Type="http://schemas.openxmlformats.org/officeDocument/2006/relationships/hyperlink" Target="https://www.quiverquant.com/news/New+Analyst+Forecast:+$COST+Given+$1100.0+Price+Target" TargetMode="External"/><Relationship Id="rId1" Type="http://schemas.openxmlformats.org/officeDocument/2006/relationships/numbering" Target="numbering.xml"/><Relationship Id="rId6" Type="http://schemas.openxmlformats.org/officeDocument/2006/relationships/hyperlink" Target="https://finance.yahoo.com/news/asian-market-value-stocks-zhejiang-043749788.html" TargetMode="External"/><Relationship Id="rId15" Type="http://schemas.openxmlformats.org/officeDocument/2006/relationships/hyperlink" Target="https://dcfmodeling.com/blogs/vision/600415ss-mission-vision" TargetMode="External"/><Relationship Id="rId23" Type="http://schemas.openxmlformats.org/officeDocument/2006/relationships/hyperlink" Target="https://qa.ali.spgchinaratings.cn/en/ratings/pdf/20250617_zhejiang-china-commodities-city-group_en.pdf" TargetMode="External"/><Relationship Id="rId28" Type="http://schemas.openxmlformats.org/officeDocument/2006/relationships/hyperlink" Target="https://qa.ali.spgchinaratings.cn/en/ratings/pdf/20250617_zhejiang-china-commodities-city-group_en.pdf" TargetMode="External"/><Relationship Id="rId36" Type="http://schemas.openxmlformats.org/officeDocument/2006/relationships/hyperlink" Target="https://qa.ali.spgchinaratings.cn/en/ratings/pdf/20250617_zhejiang-china-commodities-city-group_en.pdf" TargetMode="External"/><Relationship Id="rId49" Type="http://schemas.openxmlformats.org/officeDocument/2006/relationships/hyperlink" Target="https://www.futunn.com/en/stock/600415-SH/forecast" TargetMode="External"/><Relationship Id="rId57" Type="http://schemas.openxmlformats.org/officeDocument/2006/relationships/hyperlink" Target="https://dcfmodeling.com/blogs/vision/600415ss-mission-vision" TargetMode="External"/><Relationship Id="rId10" Type="http://schemas.openxmlformats.org/officeDocument/2006/relationships/hyperlink" Target="https://dcfmodeling.com/blogs/vision/600415ss-mission-vision" TargetMode="External"/><Relationship Id="rId31" Type="http://schemas.openxmlformats.org/officeDocument/2006/relationships/hyperlink" Target="http://money.finance.sina.com.cn/corp/view/vCB_AllBulletinDetail.php?stockid=600415&amp;id=10846188" TargetMode="External"/><Relationship Id="rId44" Type="http://schemas.openxmlformats.org/officeDocument/2006/relationships/hyperlink" Target="https://qa.ali.spgchinaratings.cn/en/ratings/pdf/20250617_zhejiang-china-commodities-city-group_en.pdf" TargetMode="External"/><Relationship Id="rId52" Type="http://schemas.openxmlformats.org/officeDocument/2006/relationships/hyperlink" Target="https://dcfmodeling.com/blogs/vision/600415ss-mission-vision" TargetMode="External"/><Relationship Id="rId60" Type="http://schemas.openxmlformats.org/officeDocument/2006/relationships/hyperlink" Target="http://money.finance.sina.com.cn/corp/view/vCB_AllBulletinDetail.php?stockid=600415&amp;id=10846188" TargetMode="External"/><Relationship Id="rId65" Type="http://schemas.openxmlformats.org/officeDocument/2006/relationships/hyperlink" Target="https://www.morningstar.com.au/investments/security/SHSE/600415" TargetMode="External"/><Relationship Id="rId73" Type="http://schemas.openxmlformats.org/officeDocument/2006/relationships/hyperlink" Target="http://news.10jqka.com.cn/field/sn/20250829/53953669.shtml" TargetMode="External"/><Relationship Id="rId78" Type="http://schemas.openxmlformats.org/officeDocument/2006/relationships/hyperlink" Target="https://valueinvesting.io/600415.SS/estimates" TargetMode="External"/><Relationship Id="rId81" Type="http://schemas.openxmlformats.org/officeDocument/2006/relationships/hyperlink" Target="https://www.reuters.com/markets/companies/600415.SS/" TargetMode="External"/><Relationship Id="rId86" Type="http://schemas.openxmlformats.org/officeDocument/2006/relationships/hyperlink" Target="https://dcfmodeling.com/blogs/vision/600415ss-mission-vision" TargetMode="External"/><Relationship Id="rId94" Type="http://schemas.openxmlformats.org/officeDocument/2006/relationships/hyperlink" Target="https://cbonds.com/bonds/1769121/"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a.ali.spgchinaratings.cn/en/ratings/pdf/20250617_zhejiang-china-commodities-city-group_en.pdf" TargetMode="External"/><Relationship Id="rId13" Type="http://schemas.openxmlformats.org/officeDocument/2006/relationships/hyperlink" Target="https://qa.ali.spgchinaratings.cn/en/ratings/pdf/20250617_zhejiang-china-commodities-city-group_en.pdf" TargetMode="External"/><Relationship Id="rId18" Type="http://schemas.openxmlformats.org/officeDocument/2006/relationships/hyperlink" Target="https://dcfmodeling.com/blogs/vision/600415ss-mission-vision" TargetMode="External"/><Relationship Id="rId39" Type="http://schemas.openxmlformats.org/officeDocument/2006/relationships/hyperlink" Target="https://www.bloomberg.com/profile/company/600415:CH" TargetMode="External"/><Relationship Id="rId34" Type="http://schemas.openxmlformats.org/officeDocument/2006/relationships/hyperlink" Target="https://qa.ali.spgchinaratings.cn/en/ratings/pdf/20250617_zhejiang-china-commodities-city-group_en.pdf" TargetMode="External"/><Relationship Id="rId50" Type="http://schemas.openxmlformats.org/officeDocument/2006/relationships/hyperlink" Target="https://www.futunn.com/en/stock/600415-SH/forecast" TargetMode="External"/><Relationship Id="rId55" Type="http://schemas.openxmlformats.org/officeDocument/2006/relationships/hyperlink" Target="https://qa.ali.spgchinaratings.cn/en/ratings/pdf/20250617_zhejiang-china-commodities-city-group_en.pdf" TargetMode="External"/><Relationship Id="rId76" Type="http://schemas.openxmlformats.org/officeDocument/2006/relationships/hyperlink" Target="https://www.investing.com/equities/commo-city" TargetMode="External"/><Relationship Id="rId97" Type="http://schemas.openxmlformats.org/officeDocument/2006/relationships/hyperlink" Target="https://investors.tanger.inc/reports-and-filings/sec-filings/content/0000899715-24-000079/0000899715-24-000079.pdf" TargetMode="External"/><Relationship Id="rId7" Type="http://schemas.openxmlformats.org/officeDocument/2006/relationships/hyperlink" Target="https://www.reuters.com/markets/companies/600415.SS/" TargetMode="External"/><Relationship Id="rId71" Type="http://schemas.openxmlformats.org/officeDocument/2006/relationships/hyperlink" Target="https://www.tradingview.com/symbols/SSE-600415/forecast/" TargetMode="External"/><Relationship Id="rId92" Type="http://schemas.openxmlformats.org/officeDocument/2006/relationships/hyperlink" Target="https://www.cnbc.com/quotes/600415.SS" TargetMode="External"/><Relationship Id="rId2" Type="http://schemas.openxmlformats.org/officeDocument/2006/relationships/styles" Target="styles.xml"/><Relationship Id="rId29" Type="http://schemas.openxmlformats.org/officeDocument/2006/relationships/hyperlink" Target="https://www.investing.com/equities/commo-city" TargetMode="External"/><Relationship Id="rId24" Type="http://schemas.openxmlformats.org/officeDocument/2006/relationships/hyperlink" Target="https://qa.ali.spgchinaratings.cn/en/ratings/pdf/20250617_zhejiang-china-commodities-city-group_en.pdf" TargetMode="External"/><Relationship Id="rId40" Type="http://schemas.openxmlformats.org/officeDocument/2006/relationships/hyperlink" Target="https://qa.ali.spgchinaratings.cn/en/ratings/pdf/20250617_zhejiang-china-commodities-city-group_en.pdf" TargetMode="External"/><Relationship Id="rId45" Type="http://schemas.openxmlformats.org/officeDocument/2006/relationships/hyperlink" Target="https://www.tradingview.com/symbols/SSE-600415/forecast/" TargetMode="External"/><Relationship Id="rId66" Type="http://schemas.openxmlformats.org/officeDocument/2006/relationships/hyperlink" Target="https://www.morningstar.com.au/investments/security/SHSE/600415" TargetMode="External"/><Relationship Id="rId87" Type="http://schemas.openxmlformats.org/officeDocument/2006/relationships/hyperlink" Target="http://money.finance.sina.com.cn/corp/view/vCB_AllBulletinDetail.php?stockid=600415&amp;id=10846188" TargetMode="External"/><Relationship Id="rId61" Type="http://schemas.openxmlformats.org/officeDocument/2006/relationships/hyperlink" Target="https://qa.ali.spgchinaratings.cn/en/ratings/pdf/20250617_zhejiang-china-commodities-city-group_en.pdf" TargetMode="External"/><Relationship Id="rId82" Type="http://schemas.openxmlformats.org/officeDocument/2006/relationships/hyperlink" Target="https://www.morningstar.com.au/investments/security/SHSE/600415" TargetMode="External"/><Relationship Id="rId19" Type="http://schemas.openxmlformats.org/officeDocument/2006/relationships/hyperlink" Target="https://qa.ali.spgchinaratings.cn/en/ratings/pdf/20250617_zhejiang-china-commodities-city-group_en.pdf" TargetMode="External"/><Relationship Id="rId14" Type="http://schemas.openxmlformats.org/officeDocument/2006/relationships/hyperlink" Target="https://qa.ali.spgchinaratings.cn/en/ratings/pdf/20250617_zhejiang-china-commodities-city-group_en.pdf" TargetMode="External"/><Relationship Id="rId30" Type="http://schemas.openxmlformats.org/officeDocument/2006/relationships/hyperlink" Target="https://www.investing.com/equities/commo-city" TargetMode="External"/><Relationship Id="rId35" Type="http://schemas.openxmlformats.org/officeDocument/2006/relationships/hyperlink" Target="https://qa.ali.spgchinaratings.cn/en/ratings/pdf/20250617_zhejiang-china-commodities-city-group_en.pdf" TargetMode="External"/><Relationship Id="rId56" Type="http://schemas.openxmlformats.org/officeDocument/2006/relationships/hyperlink" Target="https://qa.ali.spgchinaratings.cn/en/ratings/pdf/20250617_zhejiang-china-commodities-city-group_en.pdf" TargetMode="External"/><Relationship Id="rId77" Type="http://schemas.openxmlformats.org/officeDocument/2006/relationships/hyperlink" Target="https://www.reuters.com/markets/companies/600415.ss" TargetMode="External"/><Relationship Id="rId8" Type="http://schemas.openxmlformats.org/officeDocument/2006/relationships/hyperlink" Target="https://www.tradingview.com/symbols/SSE-600415/forecast/" TargetMode="External"/><Relationship Id="rId51" Type="http://schemas.openxmlformats.org/officeDocument/2006/relationships/hyperlink" Target="https://www.investing.com/equities/commo-city" TargetMode="External"/><Relationship Id="rId72" Type="http://schemas.openxmlformats.org/officeDocument/2006/relationships/hyperlink" Target="https://www.tradingview.com/symbols/SSE-600415/forecast/" TargetMode="External"/><Relationship Id="rId93" Type="http://schemas.openxmlformats.org/officeDocument/2006/relationships/hyperlink" Target="https://uk.finance.yahoo.com/quote/600415.SS/analysis"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2994</Words>
  <Characters>17066</Characters>
  <Application>Microsoft Office Word</Application>
  <DocSecurity>0</DocSecurity>
  <Lines>142</Lines>
  <Paragraphs>40</Paragraphs>
  <ScaleCrop>false</ScaleCrop>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1</cp:revision>
  <dcterms:created xsi:type="dcterms:W3CDTF">2025-09-05T05:23:00Z</dcterms:created>
  <dcterms:modified xsi:type="dcterms:W3CDTF">2025-09-05T05:23:00Z</dcterms:modified>
</cp:coreProperties>
</file>