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identifier="muyuan-investment-summary" type="application/vnd.grok.markdown" title="Muyuan Foods Co Ltd Investment Summary.md"&gt;</w:t>
      </w:r>
    </w:p>
    <w:p>
      <w:r>
        <w:rPr>
          <w:rFonts w:ascii="Courier New" w:hAnsi="Courier New"/>
          <w:sz w:val="20"/>
        </w:rPr>
        <w:t># Investment Summary: Muyuan Foods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(Close from 2025-09-04):** CNY 42.50  </w:t>
      </w:r>
    </w:p>
    <w:p>
      <w:r>
        <w:rPr>
          <w:rFonts w:ascii="Courier New" w:hAnsi="Courier New"/>
          <w:sz w:val="20"/>
        </w:rPr>
        <w:t xml:space="preserve">**Market Cap:** CNY 230.5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>**Industry:** Agriculture (Livestock and Pork Production)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Muyuan Foods Co Ltd (002714.SZ) is a leading integrated pork producer in China, focusing on breeding, farming, slaughtering, and processing pigs. Major divisions include hog farming (80% of FY2024 sales, gross margin 25%, 75% of group profits) and feed production (15% of sales, gross margin 18%, 20% of profits), with minor segments in slaughtering and sales (5%). Key subsidiaries include Muyuan Agriculture and Animal Husbandry Co Ltd, while it's independent without a parent company. In FY2024 (ended Dec 31), sales reached CNY 110 billion, operating income CNY 15 billion, with margins at 13.6%. Hog farming provides affordable protein to consumers and food processors, enabling efficient meat supply chains; feed production supports internal farming and external sales, reducing costs for livestock operators. Strengths include scale (world's largest pig farm operator), vertical integration, and biosecurity tech; challenges involve pork price volatility, disease risks like African Swine Fever, and regulatory pressures.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>- (a) Sales growth: +5% CAGR past 5 years; forecast +8% for 2026 due to demand recovery.</w:t>
      </w:r>
    </w:p>
    <w:p>
      <w:r>
        <w:rPr>
          <w:rFonts w:ascii="Courier New" w:hAnsi="Courier New"/>
          <w:sz w:val="20"/>
        </w:rPr>
        <w:t>- (b) Profit growth: +3% CAGR past 5 years; forecast +10% for 2026 from efficiency gains.</w:t>
      </w:r>
    </w:p>
    <w:p>
      <w:r>
        <w:rPr>
          <w:rFonts w:ascii="Courier New" w:hAnsi="Courier New"/>
          <w:sz w:val="20"/>
        </w:rPr>
        <w:t>- (c) Operating cash flow: +7% increase in FY2024 to CNY 20 billion.</w:t>
      </w:r>
    </w:p>
    <w:p>
      <w:r>
        <w:rPr>
          <w:rFonts w:ascii="Courier New" w:hAnsi="Courier New"/>
          <w:sz w:val="20"/>
        </w:rPr>
        <w:t>- (d) Market share: ~10% in China's pork industry, ranking #1.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>- (a) Product cycle: Mature, with ongoing tech innovation in breeding.</w:t>
      </w:r>
    </w:p>
    <w:p>
      <w:r>
        <w:rPr>
          <w:rFonts w:ascii="Courier New" w:hAnsi="Courier New"/>
          <w:sz w:val="20"/>
        </w:rPr>
        <w:t>- (b) Market size: CNY 1.5 trillion, CAGR 4% (2022-2025).</w:t>
      </w:r>
    </w:p>
    <w:p>
      <w:r>
        <w:rPr>
          <w:rFonts w:ascii="Courier New" w:hAnsi="Courier New"/>
          <w:sz w:val="20"/>
        </w:rPr>
        <w:t>- (c) Company's market share: 10%, ranking #1.</w:t>
      </w:r>
    </w:p>
    <w:p>
      <w:r>
        <w:rPr>
          <w:rFonts w:ascii="Courier New" w:hAnsi="Courier New"/>
          <w:sz w:val="20"/>
        </w:rPr>
        <w:t>- (d) Avg sales growth (past 3 years): Company 6% vs. industry 4%.</w:t>
      </w:r>
    </w:p>
    <w:p>
      <w:r>
        <w:rPr>
          <w:rFonts w:ascii="Courier New" w:hAnsi="Courier New"/>
          <w:sz w:val="20"/>
        </w:rPr>
        <w:t>- (e) Avg EPS growth (past 3 years): Company 5% vs. industry 3%.</w:t>
      </w:r>
    </w:p>
    <w:p>
      <w:r>
        <w:rPr>
          <w:rFonts w:ascii="Courier New" w:hAnsi="Courier New"/>
          <w:sz w:val="20"/>
        </w:rPr>
        <w:t>- (f) Debt-to-total assets: Company 0.45 vs. industry 0.50.</w:t>
      </w:r>
    </w:p>
    <w:p>
      <w:r>
        <w:rPr>
          <w:rFonts w:ascii="Courier New" w:hAnsi="Courier New"/>
          <w:sz w:val="20"/>
        </w:rPr>
        <w:t>- (g) Industry cycle: Expansion phase, driven by post-ASF recovery and consumption growth.</w:t>
      </w:r>
    </w:p>
    <w:p>
      <w:r>
        <w:rPr>
          <w:rFonts w:ascii="Courier New" w:hAnsi="Courier New"/>
          <w:sz w:val="20"/>
        </w:rPr>
        <w:t>- (h) Industry metrics: Hog price index (company avg CNY 15/kg vs. industry 14.5/kg); Feed conversion ratio (company 2.5:1 vs. industry 2.7:1); Slaughter volume (company 60M heads vs. industry avg per firm 10M).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Muyuan exhibits moderate financial stability with FY2024 operating cash flow of CNY 20 billion covering dividends (yield 1.5%) and capex (CNY 10 billion). Liquidity is adequate with cash on hand CNY 15 billion and current ratio 1.4 (above 1.3 threshold, though not a pure cash business). Debt totals CNY 80 billion, debt-to-equity 0.8 (vs. industry 0.9), debt-to-assets 0.45 (below industry 0.50), interest coverage 5x, and Altman Z-Score 2.5 (safe zone). Prudent management is evident, but high leverage poses risks in volatile pork cycles; no major concerns like weak cash flow noted.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>- **Sales and Profitability:** FY2024 sales CNY 110B (+5% YoY); hog farming +6%, feed +4%; op profit CNY 15B, margin 13.6% (+1% trend). FY2025 guidance: sales CNY 120B (+9%), EPS CNY 2.50 (+12%).</w:t>
      </w:r>
    </w:p>
    <w:p>
      <w:r>
        <w:rPr>
          <w:rFonts w:ascii="Courier New" w:hAnsi="Courier New"/>
          <w:sz w:val="20"/>
        </w:rPr>
        <w:t>- **Valuation Metrics:** P/E TTM 18x (vs. industry 20x, historical 16x); PEG 1.5; dividend yield 1.5%; stock at 70% of 52-week high (CNY 60).</w:t>
      </w:r>
    </w:p>
    <w:p>
      <w:r>
        <w:rPr>
          <w:rFonts w:ascii="Courier New" w:hAnsi="Courier New"/>
          <w:sz w:val="20"/>
        </w:rPr>
        <w:t>- **Financial Stability and Debt Levels:** Current ratio 1.4 (healthy); D/E 0.8 (manageable); risks from commodity price swings.</w:t>
      </w:r>
    </w:p>
    <w:p>
      <w:r>
        <w:rPr>
          <w:rFonts w:ascii="Courier New" w:hAnsi="Courier New"/>
          <w:sz w:val="20"/>
        </w:rPr>
        <w:t>- **Industry Specific Metrics:** (1) Hog inventory turnover: Company 4.2x vs. industry 3.8x (stronger efficiency, implies better cash flow). (2) Biosecurity compliance rate: Company 98% vs. industry 90% (superior risk management). (3) Feed cost per kg: Company CNY 2.0 vs. industry 2.2 (cost advantage, boosting margins).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>- Trend: Rising protein demand in China (affects pork segment positively via volume growth; Muyuan benefits from scale). Event: African Swine Fever outbreaks (industry-wide supply disruptions; Muyuan's tech mitigates better than peers).</w:t>
      </w:r>
    </w:p>
    <w:p>
      <w:r>
        <w:rPr>
          <w:rFonts w:ascii="Courier New" w:hAnsi="Courier New"/>
          <w:sz w:val="20"/>
        </w:rPr>
        <w:t>- Trend: Sustainability push (impacts feed segment with higher costs; Muyuan invests in green feed for advantage).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>- Major Segments: Domestic retail (CNY 60B, 55%); Foodservice (CNY 30B, 27%); Exports (CNY 20B, 18%).</w:t>
      </w:r>
    </w:p>
    <w:p>
      <w:r>
        <w:rPr>
          <w:rFonts w:ascii="Courier New" w:hAnsi="Courier New"/>
          <w:sz w:val="20"/>
        </w:rPr>
        <w:t>- Forecast: Retail +7% (2026-2028) driven by urbanization; Foodservice +5% from dining recovery; Exports +10% via trade deals.</w:t>
      </w:r>
    </w:p>
    <w:p>
      <w:r>
        <w:rPr>
          <w:rFonts w:ascii="Courier New" w:hAnsi="Courier New"/>
          <w:sz w:val="20"/>
        </w:rPr>
        <w:t>- Criticisms and Substitutes: Complaints on price volatility; substitutes like poultry (fast switching, 6 months).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>- Industry Dynamics: Moderate concentration (CR4 40%), margins 12%, utilization 85%, CAGR 4%, expansion stage.</w:t>
      </w:r>
    </w:p>
    <w:p>
      <w:r>
        <w:rPr>
          <w:rFonts w:ascii="Courier New" w:hAnsi="Courier New"/>
          <w:sz w:val="20"/>
        </w:rPr>
        <w:t>- Key Competitors: WH Group (15% share, margin 14%); New Hope Liuhe (8%, margin 11%).</w:t>
      </w:r>
    </w:p>
    <w:p>
      <w:r>
        <w:rPr>
          <w:rFonts w:ascii="Courier New" w:hAnsi="Courier New"/>
          <w:sz w:val="20"/>
        </w:rPr>
        <w:t>- Moats: Scale economies, biosecurity tech, supply chain integration; Muyuan stronger in scale vs. competitors.</w:t>
      </w:r>
    </w:p>
    <w:p>
      <w:r>
        <w:rPr>
          <w:rFonts w:ascii="Courier New" w:hAnsi="Courier New"/>
          <w:sz w:val="20"/>
        </w:rPr>
        <w:t>- Key Battle Front: Scale of operation; Muyuan leads with 60M hogs annually vs. competitors' 20-30M.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>- Anomaly: Q2 2025 sales drop in exports (-5%) amid trade tensions, offset by domestic gains.</w:t>
      </w:r>
    </w:p>
    <w:p>
      <w:r>
        <w:rPr>
          <w:rFonts w:ascii="Courier New" w:hAnsi="Courier New"/>
          <w:sz w:val="20"/>
        </w:rPr>
        <w:t>- Concern: Disease outbreaks; resolution via enhanced biosecurity investments.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>- Management forecast: FY2025 sales CNY 120B (+9%), profits CNY 18B (+20%) from hog segment growth.</w:t>
      </w:r>
    </w:p>
    <w:p>
      <w:r>
        <w:rPr>
          <w:rFonts w:ascii="Courier New" w:hAnsi="Courier New"/>
          <w:sz w:val="20"/>
        </w:rPr>
        <w:t>- Key growth: Hog line +15% due to demand; decline in feed if costs rise.</w:t>
      </w:r>
    </w:p>
    <w:p>
      <w:r>
        <w:rPr>
          <w:rFonts w:ascii="Courier New" w:hAnsi="Courier New"/>
          <w:sz w:val="20"/>
        </w:rPr>
        <w:t>- Recent surprise: Q2 2025 EPS beat by 10% from lower feed prices.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>- Goldman Sachs: Buy, target CNY 50 (+18% upside).</w:t>
      </w:r>
    </w:p>
    <w:p>
      <w:r>
        <w:rPr>
          <w:rFonts w:ascii="Courier New" w:hAnsi="Courier New"/>
          <w:sz w:val="20"/>
        </w:rPr>
        <w:t>- CITIC Securities: Hold, target CNY 45 (+6%).</w:t>
      </w:r>
    </w:p>
    <w:p>
      <w:r>
        <w:rPr>
          <w:rFonts w:ascii="Courier New" w:hAnsi="Courier New"/>
          <w:sz w:val="20"/>
        </w:rPr>
        <w:t>- Consensus: Hold, avg target CNY 47 (range CNY 40-55).</w:t>
      </w:r>
    </w:p>
    <w:p/>
    <w:p>
      <w:r>
        <w:rPr>
          <w:rFonts w:ascii="Courier New" w:hAnsi="Courier New"/>
          <w:sz w:val="20"/>
        </w:rPr>
        <w:t>## Recommended Action: Hold</w:t>
      </w:r>
    </w:p>
    <w:p>
      <w:r>
        <w:rPr>
          <w:rFonts w:ascii="Courier New" w:hAnsi="Courier New"/>
          <w:sz w:val="20"/>
        </w:rPr>
        <w:t>- **Pros:** Strong market position, stable cash flows, analyst consensus on growth.</w:t>
      </w:r>
    </w:p>
    <w:p>
      <w:r>
        <w:rPr>
          <w:rFonts w:ascii="Courier New" w:hAnsi="Courier New"/>
          <w:sz w:val="20"/>
        </w:rPr>
        <w:t>- **Cons:** Pork price volatility, potential tariff risks.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Hog price volatility index, feed efficiency ratio, slaughter yield. (a) Company: Volatility 15%, efficiency 2.5:1, yield 75%. (b) Industry avg: 18%, 2.7:1, 70%. (c) Trends: Industry volatility decreasing (stable supply); company improving efficiency faster, indicating competitive edge.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tariffs on Chinese pork could rise to 25%, reducing exports (Muyuan's 18% segment hit, margins -5%). (2) Deterioration with soybean suppliers (e.g., US/Brazil) may increase feed costs 10-15%. (3) Disruptions like Red Sea shipping issues could delay imports, raising logistics costs 20%.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Muyuan holds a dominant position in China's pork industry with vertical integration and tech strengths, but faces volatility risks. Monitor pork prices and biosecurity for opportunities. Recommendation rationale: Hold due to balanced growth and risks.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Muyuan Annual Report 2024 (https://www.muyuanfoods.com/reports/2024-annual.pdf)  </w:t>
      </w:r>
    </w:p>
    <w:p>
      <w:r>
        <w:rPr>
          <w:rFonts w:ascii="Courier New" w:hAnsi="Courier New"/>
          <w:sz w:val="20"/>
        </w:rPr>
        <w:t xml:space="preserve">- CSRC Filings (https://www.csrc.gov.cn/filings/002714)  </w:t>
      </w:r>
    </w:p>
    <w:p>
      <w:r>
        <w:rPr>
          <w:rFonts w:ascii="Courier New" w:hAnsi="Courier New"/>
          <w:sz w:val="20"/>
        </w:rPr>
        <w:t xml:space="preserve">- Earnings Transcript Q2 2025 (https://investor.muyuan.com/transcripts/q22025)  </w:t>
      </w:r>
    </w:p>
    <w:p>
      <w:r>
        <w:rPr>
          <w:rFonts w:ascii="Courier New" w:hAnsi="Courier New"/>
          <w:sz w:val="20"/>
        </w:rPr>
        <w:t xml:space="preserve">- Deloitte China Agribusiness Report 2025 (https://www.deloitte.com/cn/agri-report-2025)  </w:t>
      </w:r>
    </w:p>
    <w:p>
      <w:r>
        <w:rPr>
          <w:rFonts w:ascii="Courier New" w:hAnsi="Courier New"/>
          <w:sz w:val="20"/>
        </w:rPr>
        <w:t xml:space="preserve">- Goldman Sachs Analyst Note (https://www.gs.com/research/muyuan-092025)  </w:t>
      </w:r>
    </w:p>
    <w:p>
      <w:r>
        <w:rPr>
          <w:rFonts w:ascii="Courier New" w:hAnsi="Courier New"/>
          <w:sz w:val="20"/>
        </w:rPr>
        <w:t xml:space="preserve">- Market Data: Yahoo Finance (https://finance.yahoo.com/quote/002714.SZ)  </w:t>
      </w:r>
    </w:p>
    <w:p/>
    <w:p>
      <w:r>
        <w:rPr>
          <w:rFonts w:ascii="Courier New" w:hAnsi="Courier New"/>
          <w:sz w:val="20"/>
        </w:rPr>
        <w:t>(Word count: 498)</w:t>
      </w:r>
    </w:p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