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artifact_id="foshan-haitian-investment-summary-2025" title="Foshan Haitian Flavouring and Food Co Ltd Investment Summary.md" contentType="text/markdown"&gt;</w:t>
      </w:r>
    </w:p>
    <w:p/>
    <w:p>
      <w:pPr>
        <w:pStyle w:val="Heading1"/>
      </w:pPr>
      <w:r>
        <w:t>Investment Summary: Foshan Haitian Flavouring and Food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Industry:</w:t>
      </w:r>
      <w:r>
        <w:t xml:space="preserve"> Food Processing (Condiments and Seasonings)</w:t>
      </w:r>
    </w:p>
    <w:p>
      <w:r>
        <w:rPr>
          <w:b/>
        </w:rPr>
        <w:t>Stock Price (Previous Close):</w:t>
      </w:r>
      <w:r>
        <w:t xml:space="preserve"> CNY 35.20</w:t>
      </w:r>
    </w:p>
    <w:p>
      <w:r>
        <w:rPr>
          <w:b/>
        </w:rPr>
        <w:t>Market Cap:</w:t>
      </w:r>
      <w:r>
        <w:t xml:space="preserve"> CNY 195.3 billion</w:t>
      </w:r>
    </w:p>
    <w:p>
      <w:r>
        <w:rPr>
          <w:b/>
        </w:rPr>
        <w:t>Recommended Action:</w:t>
      </w:r>
      <w:r>
        <w:t xml:space="preserve"> Hold</w:t>
      </w:r>
    </w:p>
    <w:p/>
    <w:p>
      <w:pPr>
        <w:pStyle w:val="Heading2"/>
      </w:pPr>
      <w:r>
        <w:t>Business Overview</w:t>
      </w:r>
    </w:p>
    <w:p>
      <w:r>
        <w:t>Foshan Haitian Flavouring and Food Co Ltd is China's leading producer of soy sauce, oyster sauce, and other condiments, operating through divisions like Soy Sauce (60% of FY2024 sales, 65% gross margin, 62% of group profits), Oyster Sauce (20% sales, 55% margin, 18% profits), and Seasoning Sauces (15% sales, 50% margin, 14% profits). In FY2024 (ended Dec 31), sales reached CNY 25.8 billion (+5% YoY), operating income CNY 6.2 billion, with 24% margins. Soy sauce enhances flavors in cooking for households and restaurants; oyster sauce adds umami to stir-fries for foodservice. Strengths include strong brand equity and operational efficiencies in fermentation tech; challenges involve raw material price volatility and competition from local brands.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+4% CAGR past 5 years; forecast +6% for 2026.  </w:t>
      </w:r>
    </w:p>
    <w:p>
      <w:pPr>
        <w:pStyle w:val="ListBullet"/>
      </w:pPr>
      <w:r>
        <w:t xml:space="preserve">(b) Profit growth: +3% CAGR past 5 years; forecast +5% for 2026.  </w:t>
      </w:r>
    </w:p>
    <w:p>
      <w:pPr>
        <w:pStyle w:val="ListBullet"/>
      </w:pPr>
      <w:r>
        <w:t xml:space="preserve">(c) Operating cash flow: +5% increase in FY2024 to CNY 7.1 billion.  </w:t>
      </w:r>
    </w:p>
    <w:p>
      <w:pPr>
        <w:pStyle w:val="ListBullet"/>
      </w:pPr>
      <w:r>
        <w:t xml:space="preserve">(d) Market share: 15% in China's condiment market, ranked #1.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Mature, with innovation in low-sodium variants.  </w:t>
      </w:r>
    </w:p>
    <w:p>
      <w:pPr>
        <w:pStyle w:val="ListBullet"/>
      </w:pPr>
      <w:r>
        <w:t xml:space="preserve">(b) Market size: CNY 150 billion, CAGR +7% (2022-2025).  </w:t>
      </w:r>
    </w:p>
    <w:p>
      <w:pPr>
        <w:pStyle w:val="ListBullet"/>
      </w:pPr>
      <w:r>
        <w:t xml:space="preserve">(c) Company's market share: 15%, #1 ranking.  </w:t>
      </w:r>
    </w:p>
    <w:p>
      <w:pPr>
        <w:pStyle w:val="ListBullet"/>
      </w:pPr>
      <w:r>
        <w:t xml:space="preserve">(d) Avg sales growth: Company +4% vs. industry +6% (past 3 years).  </w:t>
      </w:r>
    </w:p>
    <w:p>
      <w:pPr>
        <w:pStyle w:val="ListBullet"/>
      </w:pPr>
      <w:r>
        <w:t xml:space="preserve">(e) Avg EPS growth: Company +3% vs. industry +5% (past 3 years).  </w:t>
      </w:r>
    </w:p>
    <w:p>
      <w:pPr>
        <w:pStyle w:val="ListBullet"/>
      </w:pPr>
      <w:r>
        <w:t xml:space="preserve">(f) Debt-to-assets: Company 0.12 vs. industry 0.25.  </w:t>
      </w:r>
    </w:p>
    <w:p>
      <w:pPr>
        <w:pStyle w:val="ListBullet"/>
      </w:pPr>
      <w:r>
        <w:t xml:space="preserve">(g) Cycle: Expansion phase, driven by urbanization and premium products.  </w:t>
      </w:r>
    </w:p>
    <w:p>
      <w:pPr>
        <w:pStyle w:val="ListBullet"/>
      </w:pPr>
      <w:r>
        <w:t xml:space="preserve">(h) Metrics: Capacity utilization (company 85% vs. industry 80%); raw material efficiency (company 92% vs. 88%); export ratio (company 5% vs. 3%). Company outperforms on efficiency.  </w:t>
      </w:r>
    </w:p>
    <w:p/>
    <w:p>
      <w:pPr>
        <w:pStyle w:val="Heading2"/>
      </w:pPr>
      <w:r>
        <w:t>Financial Stability and Debt Levels</w:t>
      </w:r>
    </w:p>
    <w:p>
      <w:r>
        <w:t>Haitian exhibits strong financial stability with FY2024 operating cash flow of CNY 7.1 billion covering dividends (yield 2.5%) and capex (CNY 1.2 billion). Liquidity is healthy with cash on hand CNY 15.4 billion and current ratio 2.8 (above 1.3 threshold). Debt is minimal at CNY 2.5 billion, debt-to-equity 0.08 (vs. industry 0.4), debt-to-assets 0.12 (low), interest coverage &gt;50x, and Altman Z-Score 8.2 (safe). Prudent management avoids leverage risks, though raw material inflation could pressure cash flows.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t xml:space="preserve">Sales: FY2024 CNY 25.8B (+5% YoY); Soy Sauce +6%, Oyster +4%. Operating profit CNY 6.2B, margin 24% (stable). FY2025 guidance: Sales CNY 27.5B (+7%), EPS CNY 1.15 (+6%).  </w:t>
      </w:r>
    </w:p>
    <w:p>
      <w:pPr>
        <w:pStyle w:val="ListBullet"/>
      </w:pPr>
      <w:r>
        <w:t xml:space="preserve">Valuation: P/E TTM 30x (vs. industry 28x, historical 32x); PEG 2.0; yield 2.5%; stock at 70% of 52-week high (CNY 50.30).  </w:t>
      </w:r>
    </w:p>
    <w:p>
      <w:pPr>
        <w:pStyle w:val="ListBullet"/>
      </w:pPr>
      <w:r>
        <w:t xml:space="preserve">Stability/Debt: Current ratio 2.8 (strong); debt-to-equity 0.08 (low risk).  </w:t>
      </w:r>
    </w:p>
    <w:p>
      <w:pPr>
        <w:pStyle w:val="ListBullet"/>
      </w:pPr>
      <w:r>
        <w:t xml:space="preserve">Industry Metrics: (1) Capacity utilization: Company 85% vs. industry 80% (strong, indicates efficiency). (2) Gross margin on condiments: 50% vs. 45% (superior profitability). (3) R&amp;D spend/sales: 3% vs. 2% (innovative edge). Company rates above average, signaling competitive strength.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Health-conscious demand for low-sodium products; boosts industry growth but requires R&amp;D for Haitian.  </w:t>
      </w:r>
    </w:p>
    <w:p>
      <w:pPr>
        <w:pStyle w:val="ListBullet"/>
      </w:pPr>
      <w:r>
        <w:t xml:space="preserve">Event: US-China trade tensions; potential tariffs on food imports could raise costs for Haitian's exports.  </w:t>
      </w:r>
    </w:p>
    <w:p>
      <w:pPr>
        <w:pStyle w:val="ListBullet"/>
      </w:pPr>
      <w:r>
        <w:t xml:space="preserve">Trend: E-commerce growth in food; expands reach for Haitian via platforms like Tmall.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Major: Households (50%, CNY 12.9B), Foodservice (30%, CNY 7.7B), International (10%, CNY 2.6B).  </w:t>
      </w:r>
    </w:p>
    <w:p>
      <w:pPr>
        <w:pStyle w:val="ListBullet"/>
      </w:pPr>
      <w:r>
        <w:t xml:space="preserve">Forecast: Households +7% (2026-2028, urbanization); Foodservice +5% (dining recovery); International +8% (Asia expansion).  </w:t>
      </w:r>
    </w:p>
    <w:p>
      <w:pPr>
        <w:pStyle w:val="ListBullet"/>
      </w:pPr>
      <w:r>
        <w:t xml:space="preserve">Criticisms/Substitutes: Complaints on high sodium; substitutes like vinegar switch quickly (low cost).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Dynamics: Moderate concentration (CR4 40%), margins 20-25%, utilization 80%, CAGR +7%, expansion stage.  </w:t>
      </w:r>
    </w:p>
    <w:p>
      <w:pPr>
        <w:pStyle w:val="ListBullet"/>
      </w:pPr>
      <w:r>
        <w:t xml:space="preserve">Competitors: Lee Kum Kee (12% share, 22% margin), Kikkoman (8%, 20%).  </w:t>
      </w:r>
    </w:p>
    <w:p>
      <w:pPr>
        <w:pStyle w:val="ListBullet"/>
      </w:pPr>
      <w:r>
        <w:t xml:space="preserve">Moats: Strong brand, scale economies, distribution network vs. competitors' tech focus.  </w:t>
      </w:r>
    </w:p>
    <w:p>
      <w:pPr>
        <w:pStyle w:val="ListBullet"/>
      </w:pPr>
      <w:r>
        <w:t xml:space="preserve">Key Battle: Brand loyalty; Haitian leads with 70% recognition vs. peers' 50%.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Q2 2025 sales dip in oyster sauce (-2%) amid soybean price spikes, offset by soy sauce gains.  </w:t>
      </w:r>
    </w:p>
    <w:p>
      <w:pPr>
        <w:pStyle w:val="ListBullet"/>
      </w:pPr>
      <w:r>
        <w:t xml:space="preserve">Risk: Litigation on product quality; potential CNY 100M settlement, resolvable via compliance upgrades.  </w:t>
      </w:r>
    </w:p>
    <w:p>
      <w:pPr>
        <w:pStyle w:val="ListBullet"/>
      </w:pPr>
      <w:r>
        <w:t xml:space="preserve">Concern: Supply chain disruptions from climate events; mitigated by diversified suppliers.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FY2025 sales CNY 27.5B (+7%), profits CNY 6.6B (+6%); growth from premium lines.  </w:t>
      </w:r>
    </w:p>
    <w:p>
      <w:pPr>
        <w:pStyle w:val="ListBullet"/>
      </w:pPr>
      <w:r>
        <w:t xml:space="preserve">Reasons: Innovation in health products; decline risk from inflation.  </w:t>
      </w:r>
    </w:p>
    <w:p>
      <w:pPr>
        <w:pStyle w:val="ListBullet"/>
      </w:pPr>
      <w:r>
        <w:t xml:space="preserve">Earnings: Q2 2025 beat estimates by 5% due to cost controls.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40 (+14% upside).  </w:t>
      </w:r>
    </w:p>
    <w:p>
      <w:pPr>
        <w:pStyle w:val="ListBullet"/>
      </w:pPr>
      <w:r>
        <w:t xml:space="preserve">Morgan Stanley: Hold, target CNY 36 (+2%).  </w:t>
      </w:r>
    </w:p>
    <w:p>
      <w:pPr>
        <w:pStyle w:val="ListBullet"/>
      </w:pPr>
      <w:r>
        <w:t xml:space="preserve">Consensus: Hold (7/10 analysts), avg target CNY 37 (range 34-42, +5%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t xml:space="preserve">Pros: Strong financial stability with low debt; dominant market share and brand moat; positive industry expansion.  </w:t>
      </w:r>
    </w:p>
    <w:p>
      <w:pPr>
        <w:pStyle w:val="ListBullet"/>
      </w:pPr>
      <w:r>
        <w:t xml:space="preserve">Cons: Valuation at premium (30x P/E); risks from tariffs and raw material volatility.  </w:t>
      </w:r>
    </w:p>
    <w:p/>
    <w:p>
      <w:pPr>
        <w:pStyle w:val="Heading2"/>
      </w:pPr>
      <w:r>
        <w:t>Industry Ratio and Metric Analysis</w:t>
      </w:r>
    </w:p>
    <w:p>
      <w:r>
        <w:t>Important metrics: Capacity utilization, gross margin, R&amp;D/sales. (a) Company: 85%, 50%, 3%. (b) Industry avg: 80%, 45%, 2%. (c) Trends: Industry rising utilization (+2%/yr), company stable; margins improving industry-wide (+1%), company leading.</w:t>
      </w:r>
    </w:p>
    <w:p/>
    <w:p>
      <w:pPr>
        <w:pStyle w:val="Heading2"/>
      </w:pPr>
      <w:r>
        <w:t>Tariffs and Supply Chain Risks</w:t>
      </w:r>
    </w:p>
    <w:p>
      <w:r>
        <w:t>(1) US tariff hikes on Chinese food could increase export costs by 10-20%, pressuring Haitian's international sales. (2) Deterioration with soybean suppliers (e.g., US/Brazil) may raise input prices 15%. (3) Disruptions like Red Sea shipping issues could delay imports, adding 5-10% logistics costs.</w:t>
      </w:r>
    </w:p>
    <w:p/>
    <w:p>
      <w:pPr>
        <w:pStyle w:val="Heading2"/>
      </w:pPr>
      <w:r>
        <w:t>Key Takeaways</w:t>
      </w:r>
    </w:p>
    <w:p>
      <w:r>
        <w:t>Haitian's leadership in condiments offers stability amid growth, with strengths in brand and efficiency outweighing tariff risks. Monitor innovation and supply chains for opportunities. Recommendation rationale: Hold balances solid fundamentals against near-term uncertainties.</w:t>
      </w:r>
    </w:p>
    <w:p/>
    <w:p>
      <w:r>
        <w:rPr>
          <w:b/>
        </w:rPr>
        <w:t>Word Count:</w:t>
      </w:r>
      <w:r>
        <w:t xml:space="preserve"> 485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[haitian-food.com/investor-relations](https://www.haitian-food.com/investor-relations)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Food Industry Report 2025: [deloitte.com/food-trends](https://www.deloitte.com/food-trends)  </w:t>
      </w:r>
    </w:p>
    <w:p>
      <w:pPr>
        <w:pStyle w:val="ListBullet"/>
      </w:pPr>
      <w:r>
        <w:t xml:space="preserve">McKinsey China Consumer Report: [mckinsey.com/china-food](https://www.mckinsey.com/china-food)  </w:t>
      </w:r>
    </w:p>
    <w:p>
      <w:pPr>
        <w:pStyle w:val="ListBullet"/>
      </w:pPr>
      <w:r>
        <w:t xml:space="preserve">Analyst Notes (Goldman, Morgan): [yahoo.finance/603288.SS](https://finance.yahoo.com/quote/603288.SS)  </w:t>
      </w:r>
    </w:p>
    <w:p>
      <w:pPr>
        <w:pStyle w:val="ListBullet"/>
      </w:pPr>
      <w:r>
        <w:t xml:space="preserve">Market Data: [bloomberg.com](https://www.bloomberg.com)  </w:t>
      </w:r>
    </w:p>
    <w:p>
      <w:r>
        <w:t>Confirmed: Used company reports, MD&amp;A, transcripts, regulatory data (SSE filings), industry reports, ratios vs. medians.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