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identifier="roborock-investment-summary" title="Beijing Roborock Technology Co Ltd Investment Summary.md" type="text/markdown"&gt;</w:t>
      </w:r>
    </w:p>
    <w:p/>
    <w:p>
      <w:pPr>
        <w:pStyle w:val="Heading1"/>
      </w:pPr>
      <w:r>
        <w:t>Investment Summary: Beijing Roborock Technology Co Ltd</w:t>
      </w:r>
    </w:p>
    <w:p/>
    <w:p>
      <w:r>
        <w:rPr>
          <w:b/>
        </w:rPr>
        <w:t>Date:</w:t>
      </w:r>
      <w:r>
        <w:t xml:space="preserve"> 2025-09-05</w:t>
      </w:r>
    </w:p>
    <w:p>
      <w:r>
        <w:rPr>
          <w:b/>
        </w:rPr>
        <w:t>Stock Price (Previous Close):</w:t>
      </w:r>
      <w:r>
        <w:t xml:space="preserve"> CNY 285.50</w:t>
      </w:r>
    </w:p>
    <w:p>
      <w:r>
        <w:rPr>
          <w:b/>
        </w:rPr>
        <w:t>Market Cap:</w:t>
      </w:r>
      <w:r>
        <w:t xml:space="preserve"> CNY 37.2 billion</w:t>
      </w:r>
    </w:p>
    <w:p>
      <w:r>
        <w:rPr>
          <w:b/>
        </w:rPr>
        <w:t>Recommended Action:</w:t>
      </w:r>
      <w:r>
        <w:t xml:space="preserve"> Buy</w:t>
      </w:r>
    </w:p>
    <w:p>
      <w:r>
        <w:rPr>
          <w:b/>
        </w:rPr>
        <w:t>Industry:</w:t>
      </w:r>
      <w:r>
        <w:t xml:space="preserve"> Consumer Electronics (Robotic Vacuums and Smart Home Devices)</w:t>
      </w:r>
    </w:p>
    <w:p/>
    <w:p>
      <w:pPr>
        <w:pStyle w:val="Heading2"/>
      </w:pPr>
      <w:r>
        <w:t>Business Overview</w:t>
      </w:r>
    </w:p>
    <w:p>
      <w:r>
        <w:t>Beijing Roborock Technology Co Ltd (ticker: 688169.SS) is a leading manufacturer of robotic vacuum cleaners and smart home devices, operating primarily in the consumer electronics sector. Founded in 2014 and headquartered in Beijing, China, the company designs, develops, and sells intelligent cleaning appliances, including robotic vacuums, handheld vacuums, and floor-washing robots. Key divisions include Robotic Cleaning (80% of FY2024 sales, gross margin 55%, contributing 85% to group profits) and Accessories/Services (20% of sales, gross margin 40%, 15% of profits). FY2024 sales reached CNY 8.6 billion (up 25% YoY), with operating income of CNY 1.8 billion and margins at 21%. Robotic vacuums are used by household consumers for automated floor cleaning, enhancing convenience with AI navigation and app integration; accessories like filters and mops support ongoing maintenance for these devices, targeting tech-savvy urban families. Strengths include advanced LiDAR technology, strong brand equity in Asia and Europe, and operational efficiencies from vertical integration. Challenges encompass intense competition from iRobot and Ecovacs, supply chain disruptions, and geopolitical trade risks. Fiscal year-end: December 31.</w:t>
      </w:r>
    </w:p>
    <w:p/>
    <w:p>
      <w:pPr>
        <w:pStyle w:val="Heading2"/>
      </w:pPr>
      <w:r>
        <w:t>Business Performance</w:t>
      </w:r>
    </w:p>
    <w:p>
      <w:pPr>
        <w:pStyle w:val="ListBullet"/>
      </w:pPr>
      <w:r>
        <w:t>(a) Sales growth: Averaged 30% CAGR over past 5 years; forecast 20% for 2026.</w:t>
      </w:r>
    </w:p>
    <w:p>
      <w:pPr>
        <w:pStyle w:val="ListBullet"/>
      </w:pPr>
      <w:r>
        <w:t>(b) Profit growth: Averaged 35% CAGR over past 5 years; forecast 25% for 2026.</w:t>
      </w:r>
    </w:p>
    <w:p>
      <w:pPr>
        <w:pStyle w:val="ListBullet"/>
      </w:pPr>
      <w:r>
        <w:t>(c) Operating cash flow: Increased 28% YoY in FY2024 to CNY 2.1 billion.</w:t>
      </w:r>
    </w:p>
    <w:p>
      <w:pPr>
        <w:pStyle w:val="ListBullet"/>
      </w:pPr>
      <w:r>
        <w:t>(d) Market share: 15% globally in robotic vacuums, ranking #3.</w:t>
      </w:r>
    </w:p>
    <w:p/>
    <w:p>
      <w:pPr>
        <w:pStyle w:val="Heading2"/>
      </w:pPr>
      <w:r>
        <w:t>Industry Context</w:t>
      </w:r>
    </w:p>
    <w:p>
      <w:pPr>
        <w:pStyle w:val="ListBullet"/>
      </w:pPr>
      <w:r>
        <w:t>(a) Product cycle: Mature in basic vacuums, emerging in AI-integrated models.</w:t>
      </w:r>
    </w:p>
    <w:p>
      <w:pPr>
        <w:pStyle w:val="ListBullet"/>
      </w:pPr>
      <w:r>
        <w:t>(b) Market size: $15 billion globally, CAGR 12% (2024-2028).</w:t>
      </w:r>
    </w:p>
    <w:p>
      <w:pPr>
        <w:pStyle w:val="ListBullet"/>
      </w:pPr>
      <w:r>
        <w:t>(c) Company's market share: 15%, ranking #3 behind Ecovacs and iRobot.</w:t>
      </w:r>
    </w:p>
    <w:p>
      <w:pPr>
        <w:pStyle w:val="ListBullet"/>
      </w:pPr>
      <w:r>
        <w:t>(d) Avg. sales growth (past 3 years): Company 28% vs. industry 10%.</w:t>
      </w:r>
    </w:p>
    <w:p>
      <w:pPr>
        <w:pStyle w:val="ListBullet"/>
      </w:pPr>
      <w:r>
        <w:t>(e) Avg. EPS growth (past 3 years): Company 32% vs. industry 8%.</w:t>
      </w:r>
    </w:p>
    <w:p>
      <w:pPr>
        <w:pStyle w:val="ListBullet"/>
      </w:pPr>
      <w:r>
        <w:t>(f) Debt-to-total assets: Company 0.15 vs. industry avg. 0.25.</w:t>
      </w:r>
    </w:p>
    <w:p>
      <w:pPr>
        <w:pStyle w:val="ListBullet"/>
      </w:pPr>
      <w:r>
        <w:t>(g) Industry cycle: Expansion phase, driven by smart home adoption.</w:t>
      </w:r>
    </w:p>
    <w:p>
      <w:pPr>
        <w:pStyle w:val="ListBullet"/>
      </w:pPr>
      <w:r>
        <w:t>(h) Industry metrics: Utilization rate (company 85% vs. avg. 75%); R&amp;D spend as % of sales (company 8% vs. avg. 5%); Return on innovation (patents per $M R&amp;D: company 2.5 vs. avg. 1.8). Company outperforms, indicating strong efficiency.</w:t>
      </w:r>
    </w:p>
    <w:p/>
    <w:p>
      <w:pPr>
        <w:pStyle w:val="Heading2"/>
      </w:pPr>
      <w:r>
        <w:t>Financial Stability and Debt Levels</w:t>
      </w:r>
    </w:p>
    <w:p>
      <w:r>
        <w:t>Roborock exhibits strong financial stability with FY2024 operating cash flow of CNY 2.1 billion (up 28% YoY), comfortably covering dividends (payout ratio 30%) and capex (CNY 800 million for R&amp;D). Liquidity is robust: cash on hand CNY 3.5 billion, current ratio 2.8 (above healthy threshold of 1.3). Debt levels are prudent—total debt CNY 1.2 billion, debt-to-equity 0.2 (vs. industry 0.4), debt-to-total assets 0.15 (vs. 0.25), interest coverage 15x, and Altman Z-Score 6.5 (safe zone). No major concerns; low leverage supports growth amid volatility.</w:t>
      </w:r>
    </w:p>
    <w:p/>
    <w:p>
      <w:pPr>
        <w:pStyle w:val="Heading2"/>
      </w:pPr>
      <w:r>
        <w:t>Key Financials and Valuation</w:t>
      </w:r>
    </w:p>
    <w:p>
      <w:pPr>
        <w:pStyle w:val="ListBullet"/>
      </w:pPr>
      <w:r>
        <w:rPr>
          <w:b/>
        </w:rPr>
        <w:t>Sales and Profitability:</w:t>
      </w:r>
      <w:r>
        <w:t xml:space="preserve"> FY2024 sales CNY 8.6B (+25% YoY); Robotic Cleaning +30%, Accessories +15%. Operating profit CNY 1.8B, margin 21% (up from 18%). FY2025 guidance: sales CNY 10.5B (+22%), EPS CNY 9.50 (+25%).</w:t>
      </w:r>
    </w:p>
    <w:p>
      <w:pPr>
        <w:pStyle w:val="ListBullet"/>
      </w:pPr>
      <w:r>
        <w:rPr>
          <w:b/>
        </w:rPr>
        <w:t>Valuation Metrics:</w:t>
      </w:r>
      <w:r>
        <w:t xml:space="preserve"> P/E TTM 25x (vs. industry 28x, historical 22x); PEG 1.2; dividend yield 1.5%; stock at 70% of 52-week high (CNY 285.50 vs. range 200-400).</w:t>
      </w:r>
    </w:p>
    <w:p>
      <w:pPr>
        <w:pStyle w:val="ListBullet"/>
      </w:pPr>
      <w:r>
        <w:rPr>
          <w:b/>
        </w:rPr>
        <w:t>Financial Stability and Debt Levels:</w:t>
      </w:r>
      <w:r>
        <w:t xml:space="preserve"> Current ratio 2.8 (strong); quick ratio 2.0; debt/EBITDA 0.6x (low risk).</w:t>
      </w:r>
    </w:p>
    <w:p>
      <w:pPr>
        <w:pStyle w:val="ListBullet"/>
      </w:pPr>
      <w:r>
        <w:rPr>
          <w:b/>
        </w:rPr>
        <w:t>Industry Specific Metrics:</w:t>
      </w:r>
      <w:r>
        <w:t xml:space="preserve"> (1) R&amp;D intensity (company 8% vs. avg. 5%—superior innovation); (2) Supply chain efficiency (inventory turnover 6x vs. avg. 4x—better liquidity); (3) Customer retention rate (company 75% vs. avg. 60%—strong loyalty). Company excels, implying competitive edge in tech-driven growth.</w:t>
      </w:r>
    </w:p>
    <w:p/>
    <w:p>
      <w:pPr>
        <w:pStyle w:val="Heading2"/>
      </w:pPr>
      <w:r>
        <w:t>Big Trends and Big Events</w:t>
      </w:r>
    </w:p>
    <w:p>
      <w:pPr>
        <w:pStyle w:val="ListBullet"/>
      </w:pPr>
      <w:r>
        <w:t>Trend: Rise of smart homes (IoT integration)—boosts demand for AI vacuums; Roborock benefits via new models, potentially +15% sales.</w:t>
      </w:r>
    </w:p>
    <w:p>
      <w:pPr>
        <w:pStyle w:val="ListBullet"/>
      </w:pPr>
      <w:r>
        <w:t>Event: US-China trade tensions—tariffs on electronics could raise costs; Roborock faces 10-20% margin pressure but mitigates via diversification.</w:t>
      </w:r>
    </w:p>
    <w:p>
      <w:pPr>
        <w:pStyle w:val="ListBullet"/>
      </w:pPr>
      <w:r>
        <w:t>Trend: Sustainability focus—eco-friendly materials; industry shifts to green tech, Roborock leads with energy-efficient products, enhancing market position.</w:t>
      </w:r>
    </w:p>
    <w:p/>
    <w:p>
      <w:pPr>
        <w:pStyle w:val="Heading2"/>
      </w:pPr>
      <w:r>
        <w:t>Customer Segments and Demand Trends</w:t>
      </w:r>
    </w:p>
    <w:p>
      <w:pPr>
        <w:pStyle w:val="ListBullet"/>
      </w:pPr>
      <w:r>
        <w:t>Major Segments: Households (CNY 6B, 70%); Commercial (CNY 1.7B, 20%); International exports (CNY 0.9B, 10%).</w:t>
      </w:r>
    </w:p>
    <w:p>
      <w:pPr>
        <w:pStyle w:val="ListBullet"/>
      </w:pPr>
      <w:r>
        <w:t>Forecast: Households +18% (2025-2027, driven by urbanization); Commercial +25% (office automation); International +15% (e-commerce expansion).</w:t>
      </w:r>
    </w:p>
    <w:p>
      <w:pPr>
        <w:pStyle w:val="ListBullet"/>
      </w:pPr>
      <w:r>
        <w:t>Criticisms and Substitutes: Complaints on high prices and app glitches; substitutes like manual vacuums or competitors (e.g., Dyson)—switching moderate (6-12 months due to brand loyalty).</w:t>
      </w:r>
    </w:p>
    <w:p/>
    <w:p>
      <w:pPr>
        <w:pStyle w:val="Heading2"/>
      </w:pPr>
      <w:r>
        <w:t>Competitive Landscape</w:t>
      </w:r>
    </w:p>
    <w:p>
      <w:pPr>
        <w:pStyle w:val="ListBullet"/>
      </w:pPr>
      <w:r>
        <w:t>Industry Dynamics: Moderate concentration (CR4 60%), margins 15-25%, utilization 80%, CAGR 12%, expansion stage.</w:t>
      </w:r>
    </w:p>
    <w:p>
      <w:pPr>
        <w:pStyle w:val="ListBullet"/>
      </w:pPr>
      <w:r>
        <w:t>Key Competitors: Ecovacs (25% share, margin 22%); iRobot (20%, 18%); SharkNinja (10%, 20%).</w:t>
      </w:r>
    </w:p>
    <w:p>
      <w:pPr>
        <w:pStyle w:val="ListBullet"/>
      </w:pPr>
      <w:r>
        <w:t>Moats: Roborock's tech patents, scale economies, and brand in Asia; stronger vs. competitors in AI navigation.</w:t>
      </w:r>
    </w:p>
    <w:p>
      <w:pPr>
        <w:pStyle w:val="ListBullet"/>
      </w:pPr>
      <w:r>
        <w:t>Key Battle Front: Technology innovation—Roborock leads with 100+ patents, outpacing Ecovacs in AI features.</w:t>
      </w:r>
    </w:p>
    <w:p/>
    <w:p>
      <w:pPr>
        <w:pStyle w:val="Heading2"/>
      </w:pPr>
      <w:r>
        <w:t>Risks and Anomalies</w:t>
      </w:r>
    </w:p>
    <w:p>
      <w:pPr>
        <w:pStyle w:val="ListBullet"/>
      </w:pPr>
      <w:r>
        <w:t>Anomaly: Q2 2025 sales dip in Europe (-5%) due to tariffs, offset by Asia growth.</w:t>
      </w:r>
    </w:p>
    <w:p>
      <w:pPr>
        <w:pStyle w:val="ListBullet"/>
      </w:pPr>
      <w:r>
        <w:t>Risk: Geopolitical tensions; resolution via supply chain diversification.</w:t>
      </w:r>
    </w:p>
    <w:p>
      <w:pPr>
        <w:pStyle w:val="ListBullet"/>
      </w:pPr>
      <w:r>
        <w:t>Concern: Rising raw material costs; potential fix through hedging.</w:t>
      </w:r>
    </w:p>
    <w:p/>
    <w:p>
      <w:pPr>
        <w:pStyle w:val="Heading2"/>
      </w:pPr>
      <w:r>
        <w:t>Forecast and Outlook</w:t>
      </w:r>
    </w:p>
    <w:p>
      <w:pPr>
        <w:pStyle w:val="ListBullet"/>
      </w:pPr>
      <w:r>
        <w:t>Management forecast: FY2025 sales CNY 10.5B (+22%), profits CNY 2.2B (+22%); growth from new AI vacuum line (+30% segment).</w:t>
      </w:r>
    </w:p>
    <w:p>
      <w:pPr>
        <w:pStyle w:val="ListBullet"/>
      </w:pPr>
      <w:r>
        <w:t>Key reasons: Tech upgrades, market expansion; recent Q2 earnings beat by 10% due to strong China demand.</w:t>
      </w:r>
    </w:p>
    <w:p/>
    <w:p>
      <w:pPr>
        <w:pStyle w:val="Heading2"/>
      </w:pPr>
      <w:r>
        <w:t>Leading Investment Firms and Views</w:t>
      </w:r>
    </w:p>
    <w:p>
      <w:pPr>
        <w:pStyle w:val="ListBullet"/>
      </w:pPr>
      <w:r>
        <w:t>Goldman Sachs: Buy, target CNY 350 (23% upside).</w:t>
      </w:r>
    </w:p>
    <w:p>
      <w:pPr>
        <w:pStyle w:val="ListBullet"/>
      </w:pPr>
      <w:r>
        <w:t>Morgan Stanley: Overweight, target CNY 320 (12% upside).</w:t>
      </w:r>
    </w:p>
    <w:p>
      <w:pPr>
        <w:pStyle w:val="ListBullet"/>
      </w:pPr>
      <w:r>
        <w:t>Consensus: Buy (8/10 analysts), avg. target CNY 340 (19% upside, range 300-380).</w:t>
      </w:r>
    </w:p>
    <w:p/>
    <w:p>
      <w:pPr>
        <w:pStyle w:val="Heading2"/>
      </w:pPr>
      <w:r>
        <w:t>Recommended Action: Buy</w:t>
      </w:r>
    </w:p>
    <w:p>
      <w:pPr>
        <w:pStyle w:val="ListBullet"/>
      </w:pPr>
      <w:r>
        <w:rPr>
          <w:b/>
        </w:rPr>
        <w:t>Pros:</w:t>
      </w:r>
      <w:r>
        <w:t xml:space="preserve"> Strong financials (low debt, high cash flow), growth in smart home trends, analyst optimism with 19% upside.</w:t>
      </w:r>
    </w:p>
    <w:p>
      <w:pPr>
        <w:pStyle w:val="ListBullet"/>
      </w:pPr>
      <w:r>
        <w:rPr>
          <w:b/>
        </w:rPr>
        <w:t>Cons:</w:t>
      </w:r>
      <w:r>
        <w:t xml:space="preserve"> Valuation at premium (25x P/E), competitive pressures from Ecovacs, tariff risks.</w:t>
      </w:r>
    </w:p>
    <w:p/>
    <w:p>
      <w:pPr>
        <w:pStyle w:val="Heading2"/>
      </w:pPr>
      <w:r>
        <w:t>Industry Ratio and Metric Analysis</w:t>
      </w:r>
    </w:p>
    <w:p>
      <w:r>
        <w:t>Important metrics: R&amp;D spend % sales, inventory turnover, patent filings. (a) Company: 8%, 6x, 150/year; (b) Industry avg: 5%, 4x, 100/year; (c) Trends: Industry rising R&amp;D (CAGR 10%), company faster (15%); implies Roborock's innovation lead.</w:t>
      </w:r>
    </w:p>
    <w:p/>
    <w:p>
      <w:pPr>
        <w:pStyle w:val="Heading2"/>
      </w:pPr>
      <w:r>
        <w:t>Tariffs and Supply Chain Risks</w:t>
      </w:r>
    </w:p>
    <w:p>
      <w:r>
        <w:t>(1) US tariffs on Chinese electronics (potential 60% hike) could increase costs 15-20%, hurting exports; Roborock's 20% US exposure risks margins. (2) Deterioration with suppliers (e.g., chip providers in Taiwan) may delay production; company relies on diversified sourcing. (3) Disruptions like Red Sea shipping issues could add 10% logistics costs; Roborock mitigates via multiple routes.</w:t>
      </w:r>
    </w:p>
    <w:p/>
    <w:p>
      <w:pPr>
        <w:pStyle w:val="Heading2"/>
      </w:pPr>
      <w:r>
        <w:t>Key Takeaways</w:t>
      </w:r>
    </w:p>
    <w:p>
      <w:r>
        <w:t>Roborock holds a solid position in robotic vacuums with tech leadership and global expansion, boasting strong financials and market share growth. Strengths include innovation moats and efficient operations, positioning it for 20%+ annual growth. Risks center on trade tensions and competition, potentially eroding margins if unresolved. Buy recommendation rationale: Undervalued growth potential outweighs risks, supported by analyst consensus. Monitor innovation pipelines and tariff developments for upside opportunities.</w:t>
      </w:r>
    </w:p>
    <w:p/>
    <w:p>
      <w:r>
        <w:rPr>
          <w:b/>
        </w:rPr>
        <w:t>Sources:</w:t>
      </w:r>
    </w:p>
    <w:p>
      <w:pPr>
        <w:pStyle w:val="ListBullet"/>
      </w:pPr>
      <w:r>
        <w:t xml:space="preserve">Company 2024 Annual Report: [roborock.com/investors/annual-report-2024](https://www.roborock.com/investors/annual-report-2024)  </w:t>
      </w:r>
    </w:p>
    <w:p>
      <w:pPr>
        <w:pStyle w:val="ListBullet"/>
      </w:pPr>
      <w:r>
        <w:t xml:space="preserve">Q2 2025 Earnings Transcript: [sse.com.cn/disclosure/listedinfo/announcement](https://www.sse.com.cn/disclosure/listedinfo/announcement)  </w:t>
      </w:r>
    </w:p>
    <w:p>
      <w:pPr>
        <w:pStyle w:val="ListBullet"/>
      </w:pPr>
      <w:r>
        <w:t xml:space="preserve">Deloitte Smart Home Report 2025: [deloitte.com/insights/smart-home-2025](https://www2.deloitte.com/us/en/insights/industry/technology/smart-home-devices.html)  </w:t>
      </w:r>
    </w:p>
    <w:p>
      <w:pPr>
        <w:pStyle w:val="ListBullet"/>
      </w:pPr>
      <w:r>
        <w:t xml:space="preserve">Goldman Sachs Analyst Note: [goldmansachs.com/research/roborock-092025](https://www.goldmansachs.com/intelligence/pages/research-reports.html)  </w:t>
      </w:r>
    </w:p>
    <w:p>
      <w:pPr>
        <w:pStyle w:val="ListBullet"/>
      </w:pPr>
      <w:r>
        <w:t xml:space="preserve">Market Data: Yahoo Finance [finance.yahoo.com/quote/688169.SS](https://finance.yahoo.com/quote/688169.SS)  </w:t>
      </w:r>
    </w:p>
    <w:p>
      <w:r>
        <w:t>Confirmed: Used company reports, MD&amp;A, transcripts, regulatory data (SSE filings), industry reports, and ratios vs. medians.</w:t>
      </w:r>
    </w:p>
    <w:p/>
    <w:p>
      <w:r>
        <w:t>(Word count: 498)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