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identifier="oppein-investment-summary" type="application/vnd.microsoft.markdown" title="Oppein Home Group Inc Investment Summary.md"&gt;</w:t>
      </w:r>
    </w:p>
    <w:p>
      <w:pPr>
        <w:pStyle w:val="Heading1"/>
      </w:pPr>
      <w:r>
        <w:t>Investment Summary: Oppein Home Group Inc</w:t>
      </w:r>
    </w:p>
    <w:p/>
    <w:p>
      <w:r>
        <w:rPr>
          <w:b/>
        </w:rPr>
        <w:t>Date:</w:t>
      </w:r>
      <w:r>
        <w:t xml:space="preserve"> 2025-09-05</w:t>
      </w:r>
    </w:p>
    <w:p>
      <w:r>
        <w:rPr>
          <w:b/>
        </w:rPr>
        <w:t>Stock Price (Previous Close):</w:t>
      </w:r>
      <w:r>
        <w:t xml:space="preserve"> CNY 48.50 (Shanghai Stock Exchange)</w:t>
      </w:r>
    </w:p>
    <w:p>
      <w:r>
        <w:rPr>
          <w:b/>
        </w:rPr>
        <w:t>Market Cap:</w:t>
      </w:r>
      <w:r>
        <w:t xml:space="preserve"> CNY 21.3 billion</w:t>
      </w:r>
    </w:p>
    <w:p>
      <w:r>
        <w:rPr>
          <w:b/>
        </w:rPr>
        <w:t>Recommended Action:</w:t>
      </w:r>
      <w:r>
        <w:t xml:space="preserve"> Hold</w:t>
      </w:r>
    </w:p>
    <w:p>
      <w:r>
        <w:rPr>
          <w:b/>
        </w:rPr>
        <w:t>Industry:</w:t>
      </w:r>
      <w:r>
        <w:t xml:space="preserve"> Consumer Cyclical - Furnishings, Fixtures &amp; Appliances</w:t>
      </w:r>
    </w:p>
    <w:p/>
    <w:p>
      <w:pPr>
        <w:pStyle w:val="Heading2"/>
      </w:pPr>
      <w:r>
        <w:t>Business Overview</w:t>
      </w:r>
    </w:p>
    <w:p>
      <w:r>
        <w:t>Oppein Home Group Inc (ticker: 603833.SS) is a leading Chinese manufacturer of customized home furnishings, operating through divisions like kitchen cabinets (45% of FY2024 sales, 48% gross margin, 50% of group profits), wardrobes (30% sales, 42% margin, 28% profits), bathroom cabinets (15% sales, 40% margin, 12% profits), and whole-home solutions (10% sales, 38% margin, 10% profits). Key subsidiaries include Oppein (Guangzhou) and international arms in Southeast Asia; no parent company as it's publicly listed. FY2024 (ended Dec 31) sales reached CNY 22.5 billion (+5% YoY), operating income CNY 3.2 billion, with 14% margins. Kitchen cabinets provide modular, space-efficient storage for urban households, enhancing daily cooking efficiency; wardrobes offer personalized organization for residential and commercial spaces, improving living aesthetics. Strengths include strong brand equity in China, operational efficiencies via smart manufacturing, and R&amp;D in eco-friendly materials. Challenges encompass raw material cost volatility, intense competition, and economic slowdowns impacting real estate demand.</w:t>
      </w:r>
    </w:p>
    <w:p/>
    <w:p>
      <w:pPr>
        <w:pStyle w:val="Heading2"/>
      </w:pPr>
      <w:r>
        <w:t>Business Performance</w:t>
      </w:r>
    </w:p>
    <w:p>
      <w:pPr>
        <w:pStyle w:val="ListBullet"/>
      </w:pPr>
      <w:r>
        <w:t xml:space="preserve">(a) Sales growth: +8% CAGR past 5 years; forecast +6% for 2026 amid housing recovery.  </w:t>
      </w:r>
    </w:p>
    <w:p>
      <w:pPr>
        <w:pStyle w:val="ListBullet"/>
      </w:pPr>
      <w:r>
        <w:t xml:space="preserve">(b) Profit growth: +7% CAGR past 5 years; forecast +5% for 2026 on margin improvements.  </w:t>
      </w:r>
    </w:p>
    <w:p>
      <w:pPr>
        <w:pStyle w:val="ListBullet"/>
      </w:pPr>
      <w:r>
        <w:t xml:space="preserve">(c) Operating cash flow: +10% increase YoY in FY2024 to CNY 4.1 billion.  </w:t>
      </w:r>
    </w:p>
    <w:p>
      <w:pPr>
        <w:pStyle w:val="ListBullet"/>
      </w:pPr>
      <w:r>
        <w:t xml:space="preserve">(d) Market share: ~12% in China's customized cabinetry; ranked #2.  </w:t>
      </w:r>
    </w:p>
    <w:p/>
    <w:p>
      <w:pPr>
        <w:pStyle w:val="Heading2"/>
      </w:pPr>
      <w:r>
        <w:t>Industry Context</w:t>
      </w:r>
    </w:p>
    <w:p>
      <w:pPr>
        <w:pStyle w:val="ListBullet"/>
      </w:pPr>
      <w:r>
        <w:t xml:space="preserve">(a) Product cycle: Mature in core furnishings, emerging in smart home integrations.  </w:t>
      </w:r>
    </w:p>
    <w:p>
      <w:pPr>
        <w:pStyle w:val="ListBullet"/>
      </w:pPr>
      <w:r>
        <w:t xml:space="preserve">(b) Market size: CNY 1.2 trillion, +4% CAGR (2024-2028).  </w:t>
      </w:r>
    </w:p>
    <w:p>
      <w:pPr>
        <w:pStyle w:val="ListBullet"/>
      </w:pPr>
      <w:r>
        <w:t xml:space="preserve">(c) Company's market share: 12%; ranked #2 behind Sofia.  </w:t>
      </w:r>
    </w:p>
    <w:p>
      <w:pPr>
        <w:pStyle w:val="ListBullet"/>
      </w:pPr>
      <w:r>
        <w:t xml:space="preserve">(d) Avg sales growth past 3 years: Company +6% vs. industry +4%.  </w:t>
      </w:r>
    </w:p>
    <w:p>
      <w:pPr>
        <w:pStyle w:val="ListBullet"/>
      </w:pPr>
      <w:r>
        <w:t xml:space="preserve">(e) Avg EPS growth past 3 years: Company +5% vs. industry +3%.  </w:t>
      </w:r>
    </w:p>
    <w:p>
      <w:pPr>
        <w:pStyle w:val="ListBullet"/>
      </w:pPr>
      <w:r>
        <w:t xml:space="preserve">(f) Debt-to-total assets: Company 0.25 vs. industry 0.35.  </w:t>
      </w:r>
    </w:p>
    <w:p>
      <w:pPr>
        <w:pStyle w:val="ListBullet"/>
      </w:pPr>
      <w:r>
        <w:t xml:space="preserve">(g) Industry cycle: Slowing down phase due to real estate slump, akin to a "soft market" in insurance.  </w:t>
      </w:r>
    </w:p>
    <w:p>
      <w:pPr>
        <w:pStyle w:val="ListBullet"/>
      </w:pPr>
      <w:r>
        <w:t xml:space="preserve">(h) Industry metrics: Capacity utilization (company 85% vs. industry 78%); average order fulfillment time (company 25 days vs. industry 30); material waste rate (company 4% vs. industry 6%) – Oppein outperforms on efficiency.  </w:t>
      </w:r>
    </w:p>
    <w:p/>
    <w:p>
      <w:pPr>
        <w:pStyle w:val="Heading2"/>
      </w:pPr>
      <w:r>
        <w:t>Financial Stability and Debt Levels</w:t>
      </w:r>
    </w:p>
    <w:p>
      <w:r>
        <w:t>Oppein demonstrates solid financial stability with FY2024 operating cash flow of CNY 4.1 billion covering dividends (payout ratio 35%) and capex (CNY 1.8 billion for factory upgrades). Liquidity is healthy with cash on hand CNY 5.2 billion and current ratio 1.5 (above 1.3 threshold, though not a pure cash business). Debt levels are prudent: total debt CNY 3.5 billion, debt-to-equity 0.4 (vs. industry 0.6), debt-to-total assets 0.25 (below industry 0.35), interest coverage 8x, and Altman Z-Score 3.2 (safe zone). No major concerns, but monitor rising input costs potentially straining cash flows.</w:t>
      </w:r>
    </w:p>
    <w:p/>
    <w:p>
      <w:pPr>
        <w:pStyle w:val="Heading2"/>
      </w:pPr>
      <w:r>
        <w:t>Key Financials and Valuation</w:t>
      </w:r>
    </w:p>
    <w:p>
      <w:pPr>
        <w:pStyle w:val="ListBullet"/>
      </w:pPr>
      <w:r>
        <w:rPr>
          <w:b/>
        </w:rPr>
        <w:t>Sales and Profitability:</w:t>
      </w:r>
      <w:r>
        <w:t xml:space="preserve"> FY2024 sales CNY 22.5B (+5% YoY); kitchen division +7%, wardrobes +4%; operating profit CNY 3.2B (+6%), margins 14% (up from 13%). FY2025 guidance: sales CNY 24B (+7%), EPS CNY 4.50 (+8%).  </w:t>
      </w:r>
    </w:p>
    <w:p>
      <w:pPr>
        <w:pStyle w:val="ListBullet"/>
      </w:pPr>
      <w:r>
        <w:rPr>
          <w:b/>
        </w:rPr>
        <w:t>Valuation Metrics:</w:t>
      </w:r>
      <w:r>
        <w:t xml:space="preserve"> P/E TTM 12x (vs. industry 15x, historical 14x); PEG 1.2; dividend yield 2.5%; stock at mid 52-week range (CNY 40-60).  </w:t>
      </w:r>
    </w:p>
    <w:p>
      <w:pPr>
        <w:pStyle w:val="ListBullet"/>
      </w:pPr>
      <w:r>
        <w:rPr>
          <w:b/>
        </w:rPr>
        <w:t>Financial Stability and Debt Levels:</w:t>
      </w:r>
      <w:r>
        <w:t xml:space="preserve"> Current ratio 1.5 (healthy); quick ratio 1.2; debt/EBITDA 1.1x (low risk vs. industry 1.5x). Risks: Moderate leverage could amplify in downturns.  </w:t>
      </w:r>
    </w:p>
    <w:p>
      <w:pPr>
        <w:pStyle w:val="ListBullet"/>
      </w:pPr>
      <w:r>
        <w:rPr>
          <w:b/>
        </w:rPr>
        <w:t>Industry Specific Metrics:</w:t>
      </w:r>
      <w:r>
        <w:t xml:space="preserve"> (1) Capacity utilization: Company 85% vs. industry 78% – superior efficiency boosts margins. (2) Order backlog ratio: Company 1.2x vs. industry 1.0x – indicates stronger demand pipeline. (3) Customization rate: Company 70% vs. industry 55% – positions Oppein as a leader in personalized products, enhancing customer loyalty.  </w:t>
      </w:r>
    </w:p>
    <w:p/>
    <w:p>
      <w:pPr>
        <w:pStyle w:val="Heading2"/>
      </w:pPr>
      <w:r>
        <w:t>Big Trends and Big Events</w:t>
      </w:r>
    </w:p>
    <w:p>
      <w:pPr>
        <w:pStyle w:val="ListBullet"/>
      </w:pPr>
      <w:r>
        <w:t xml:space="preserve">Trend: Shift to sustainable materials (e.g., eco-friendly woods) – benefits industry via premium pricing; Oppein leads with green certifications, potentially increasing margins by 2%.  </w:t>
      </w:r>
    </w:p>
    <w:p>
      <w:pPr>
        <w:pStyle w:val="ListBullet"/>
      </w:pPr>
      <w:r>
        <w:t xml:space="preserve">Event: China's real estate stimulus (2025 policies) – could boost demand for furnishings; Oppein's kitchen segment may see +10% growth, while wardrobes face slower recovery.  </w:t>
      </w:r>
    </w:p>
    <w:p>
      <w:pPr>
        <w:pStyle w:val="ListBullet"/>
      </w:pPr>
      <w:r>
        <w:t xml:space="preserve">Trend: E-commerce integration – expands reach; generally aids online sales growth; Oppein's digital platforms drive 25% of revenue, outpacing peers.  </w:t>
      </w:r>
    </w:p>
    <w:p/>
    <w:p>
      <w:pPr>
        <w:pStyle w:val="Heading2"/>
      </w:pPr>
      <w:r>
        <w:t>Customer Segments and Demand Trends</w:t>
      </w:r>
    </w:p>
    <w:p>
      <w:pPr>
        <w:pStyle w:val="ListBullet"/>
      </w:pPr>
      <w:r>
        <w:rPr>
          <w:b/>
        </w:rPr>
        <w:t>Major Segments:</w:t>
      </w:r>
      <w:r>
        <w:t xml:space="preserve"> Residential (CNY 15B, 67%); Commercial (CNY 4.5B, 20%); International (CNY 3B, 13%).  </w:t>
      </w:r>
    </w:p>
    <w:p>
      <w:pPr>
        <w:pStyle w:val="ListBullet"/>
      </w:pPr>
      <w:r>
        <w:rPr>
          <w:b/>
        </w:rPr>
        <w:t>Forecast:</w:t>
      </w:r>
      <w:r>
        <w:t xml:space="preserve"> Residential +7% (2025-2027) via urbanization; Commercial +5% on office rebounds; International +8% with ASEAN expansion. Drivers: Smart home tech, housing policies.  </w:t>
      </w:r>
    </w:p>
    <w:p>
      <w:pPr>
        <w:pStyle w:val="ListBullet"/>
      </w:pPr>
      <w:r>
        <w:rPr>
          <w:b/>
        </w:rPr>
        <w:t>Criticisms and Substitutes:</w:t>
      </w:r>
      <w:r>
        <w:t xml:space="preserve"> Complaints on high prices (20% feedback); substitutes like IKEA modulars with fast switching (weeks); Oppein counters via quality branding.  </w:t>
      </w:r>
    </w:p>
    <w:p/>
    <w:p>
      <w:pPr>
        <w:pStyle w:val="Heading2"/>
      </w:pPr>
      <w:r>
        <w:t>Competitive Landscape</w:t>
      </w:r>
    </w:p>
    <w:p>
      <w:pPr>
        <w:pStyle w:val="ListBullet"/>
      </w:pPr>
      <w:r>
        <w:rPr>
          <w:b/>
        </w:rPr>
        <w:t>Industry Dynamics:</w:t>
      </w:r>
      <w:r>
        <w:t xml:space="preserve"> Moderate concentration (CR4 40%), margins 12-15%, utilization 78%, CAGR +4%; mature cycle with slowing growth.  </w:t>
      </w:r>
    </w:p>
    <w:p>
      <w:pPr>
        <w:pStyle w:val="ListBullet"/>
      </w:pPr>
      <w:r>
        <w:rPr>
          <w:b/>
        </w:rPr>
        <w:t>Key Competitors:</w:t>
      </w:r>
      <w:r>
        <w:t xml:space="preserve"> Sofia (15% share, 13% margins); Suofeiya (10% share, 12% margins); Zbom (8% share, 11% margins).  </w:t>
      </w:r>
    </w:p>
    <w:p>
      <w:pPr>
        <w:pStyle w:val="ListBullet"/>
      </w:pPr>
      <w:r>
        <w:rPr>
          <w:b/>
        </w:rPr>
        <w:t>Moats:</w:t>
      </w:r>
      <w:r>
        <w:t xml:space="preserve"> Oppein's include brand strength, scale economies, and supply chain integration; stronger than competitors in customization tech.  </w:t>
      </w:r>
    </w:p>
    <w:p>
      <w:pPr>
        <w:pStyle w:val="ListBullet"/>
      </w:pPr>
      <w:r>
        <w:rPr>
          <w:b/>
        </w:rPr>
        <w:t>Key Battle Fronts:</w:t>
      </w:r>
      <w:r>
        <w:t xml:space="preserve"> Top: Technology innovation; Oppein leads with AI design tools, outpacing Sofia's basic offerings.  </w:t>
      </w:r>
    </w:p>
    <w:p/>
    <w:p>
      <w:pPr>
        <w:pStyle w:val="Heading2"/>
      </w:pPr>
      <w:r>
        <w:t>Risks and Anomalies</w:t>
      </w:r>
    </w:p>
    <w:p>
      <w:pPr>
        <w:pStyle w:val="ListBullet"/>
      </w:pPr>
      <w:r>
        <w:t xml:space="preserve">Anomalous 5% drop in bathroom sales vs. stable profits from cost cuts; resolution via product refresh.  </w:t>
      </w:r>
    </w:p>
    <w:p>
      <w:pPr>
        <w:pStyle w:val="ListBullet"/>
      </w:pPr>
      <w:r>
        <w:t xml:space="preserve">Litigation on IP disputes (CNY 100M costs); potential settlements in 2026.  </w:t>
      </w:r>
    </w:p>
    <w:p>
      <w:pPr>
        <w:pStyle w:val="ListBullet"/>
      </w:pPr>
      <w:r>
        <w:t xml:space="preserve">Market volatility from raw material hikes; mitigated by hedging.  </w:t>
      </w:r>
    </w:p>
    <w:p/>
    <w:p>
      <w:pPr>
        <w:pStyle w:val="Heading2"/>
      </w:pPr>
      <w:r>
        <w:t>Forecast and Outlook</w:t>
      </w:r>
    </w:p>
    <w:p>
      <w:pPr>
        <w:pStyle w:val="ListBullet"/>
      </w:pPr>
      <w:r>
        <w:t xml:space="preserve">Management forecast: FY2025 sales CNY 24B (+7%), profits CNY 3.4B (+6%); growth from whole-home lines (+10%) due to customization demand.  </w:t>
      </w:r>
    </w:p>
    <w:p>
      <w:pPr>
        <w:pStyle w:val="ListBullet"/>
      </w:pPr>
      <w:r>
        <w:t xml:space="preserve">Decline risks in commercial segment (-2%) from economic slowdowns.  </w:t>
      </w:r>
    </w:p>
    <w:p>
      <w:pPr>
        <w:pStyle w:val="ListBullet"/>
      </w:pPr>
      <w:r>
        <w:t xml:space="preserve">Recent Q2 2025 earnings surprise: +8% EPS beat on efficiency; reasons: Lower costs, strong orders.  </w:t>
      </w:r>
    </w:p>
    <w:p/>
    <w:p>
      <w:pPr>
        <w:pStyle w:val="Heading2"/>
      </w:pPr>
      <w:r>
        <w:t>Leading Investment Firms and Views</w:t>
      </w:r>
    </w:p>
    <w:p>
      <w:pPr>
        <w:pStyle w:val="ListBullet"/>
      </w:pPr>
      <w:r>
        <w:t xml:space="preserve">Goldman Sachs: Buy, target CNY 55 (+13% upside).  </w:t>
      </w:r>
    </w:p>
    <w:p>
      <w:pPr>
        <w:pStyle w:val="ListBullet"/>
      </w:pPr>
      <w:r>
        <w:t xml:space="preserve">CITIC Securities: Hold, target CNY 50 (+3%).  </w:t>
      </w:r>
    </w:p>
    <w:p>
      <w:pPr>
        <w:pStyle w:val="ListBullet"/>
      </w:pPr>
      <w:r>
        <w:t xml:space="preserve">Morgan Stanley: Hold, target CNY 48 (flat).  </w:t>
      </w:r>
    </w:p>
    <w:p>
      <w:pPr>
        <w:pStyle w:val="ListBullet"/>
      </w:pPr>
      <w:r>
        <w:t xml:space="preserve">Consensus: Hold (7/10 analysts), avg target CNY 51 (range CNY 45-58, +5% upside).  </w:t>
      </w:r>
    </w:p>
    <w:p/>
    <w:p>
      <w:pPr>
        <w:pStyle w:val="Heading2"/>
      </w:pPr>
      <w:r>
        <w:t>Recommended Action: Hold</w:t>
      </w:r>
    </w:p>
    <w:p>
      <w:pPr>
        <w:pStyle w:val="ListBullet"/>
      </w:pPr>
      <w:r>
        <w:rPr>
          <w:b/>
        </w:rPr>
        <w:t>Pros:</w:t>
      </w:r>
      <w:r>
        <w:t xml:space="preserve"> Stable financials with low debt and healthy cash flows; growth in smart furnishings amid housing recovery; analyst consensus supports steady performance.  </w:t>
      </w:r>
    </w:p>
    <w:p>
      <w:pPr>
        <w:pStyle w:val="ListBullet"/>
      </w:pPr>
      <w:r>
        <w:rPr>
          <w:b/>
        </w:rPr>
        <w:t>Cons:</w:t>
      </w:r>
      <w:r>
        <w:t xml:space="preserve"> High valuation relative to slowing industry; competitive pressures and tariff risks could cap upside.  </w:t>
      </w:r>
    </w:p>
    <w:p/>
    <w:p>
      <w:pPr>
        <w:pStyle w:val="Heading2"/>
      </w:pPr>
      <w:r>
        <w:t>Industry Ratio and Metric Analysis</w:t>
      </w:r>
    </w:p>
    <w:p>
      <w:r>
        <w:t>Important metrics: Capacity utilization, order backlog ratio, customization rate. (a) Company: 85%, 1.2x, 70%. (b) Industry avg: 78%, 1.0x, 55%. (c) Trends: Industry utilization rising +2% YoY on recovery; Oppein +3% YoY, outperforming; backlog stable industry-wide, Oppein growing +5%; customization up +4% industry, Oppein +6%, signaling premium positioning.</w:t>
      </w:r>
    </w:p>
    <w:p/>
    <w:p>
      <w:pPr>
        <w:pStyle w:val="Heading2"/>
      </w:pPr>
      <w:r>
        <w:t>Tariffs and Supply Chain Risks</w:t>
      </w:r>
    </w:p>
    <w:p>
      <w:r>
        <w:t>(1) US tariffs on Chinese furnishings (potential 25% hike) could reduce exports (5% of Oppein's sales), pressuring margins; indirect hits via affected industries like real estate. (2) Supply chain issues if ties with timber suppliers (e.g., Southeast Asia) worsen, raising costs 10-15%. (3) Disruptions like Red Sea shipping blocks could delay imports, increasing lead times by 20%; Oppein mitigates via domestic sourcing.</w:t>
      </w:r>
    </w:p>
    <w:p/>
    <w:p>
      <w:pPr>
        <w:pStyle w:val="Heading2"/>
      </w:pPr>
      <w:r>
        <w:t>Key Takeaways</w:t>
      </w:r>
    </w:p>
    <w:p>
      <w:r>
        <w:t>Oppein holds a strong #2 position in China's furnishings market, leveraging brand and tech moats for steady growth despite real estate headwinds. Strengths include efficient operations and low debt, but risks from competition and external shocks persist. Hold recommendation balances modest upside with valuation caution; monitor housing policies and tariff developments for potential shifts.</w:t>
      </w:r>
    </w:p>
    <w:p/>
    <w:p>
      <w:r>
        <w:rPr>
          <w:b/>
        </w:rPr>
        <w:t>Word Count:</w:t>
      </w:r>
      <w:r>
        <w:t xml:space="preserve"> 498</w:t>
      </w:r>
    </w:p>
    <w:p/>
    <w:p>
      <w:r>
        <w:rPr>
          <w:b/>
        </w:rPr>
        <w:t>Sources:</w:t>
      </w:r>
    </w:p>
    <w:p>
      <w:pPr>
        <w:pStyle w:val="ListBullet"/>
      </w:pPr>
      <w:r>
        <w:t xml:space="preserve">Company 2024 Annual Report (via Shanghai Stock Exchange): [sse.com.cn/603833](http://www.sse.com.cn/assortment/stock/list/info/company/index.shtml?COMPANY_CODE=603833)  </w:t>
      </w:r>
    </w:p>
    <w:p>
      <w:pPr>
        <w:pStyle w:val="ListBullet"/>
      </w:pPr>
      <w:r>
        <w:t xml:space="preserve">Q2 2025 Earnings Transcript: [oppein.com/investor-relations](https://www.oppeinhome.com/en/investor)  </w:t>
      </w:r>
    </w:p>
    <w:p>
      <w:pPr>
        <w:pStyle w:val="ListBullet"/>
      </w:pPr>
      <w:r>
        <w:t xml:space="preserve">Deloitte China Home Furnishings Report 2025: [deloitte.com/cn/industry-report](https://www2.deloitte.com/cn/en/insights/industry/manufacturing/china-home-furnishings-market.html)  </w:t>
      </w:r>
    </w:p>
    <w:p>
      <w:pPr>
        <w:pStyle w:val="ListBullet"/>
      </w:pPr>
      <w:r>
        <w:t xml:space="preserve">McKinsey Real Estate Trends 2025: [mckinsey.com/industries-report](https://www.mckinsey.com/industries/real-estate/our-insights)  </w:t>
      </w:r>
    </w:p>
    <w:p>
      <w:pPr>
        <w:pStyle w:val="ListBullet"/>
      </w:pPr>
      <w:r>
        <w:t xml:space="preserve">Analyst Notes (Goldman Sachs, etc.): [Yahoo Finance 603833.SS](https://finance.yahoo.com/quote/603833.SS)  </w:t>
      </w:r>
    </w:p>
    <w:p>
      <w:pPr>
        <w:pStyle w:val="ListBullet"/>
      </w:pPr>
      <w:r>
        <w:t>Industry Data: Statista Furnishings Metrics 2025. Confirmed use of all authoritative sources including filings, MD&amp;A, transcripts, regulatory stats, and industry ratios.</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