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BAF4BA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C3E50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2C3E50"/>
          <w:spacing w:val="0"/>
          <w:sz w:val="24"/>
          <w:szCs w:val="24"/>
          <w:shd w:val="clear" w:fill="FFFFFF"/>
          <w:lang w:val="en-US" w:eastAsia="zh-CN"/>
        </w:rPr>
        <w:t xml:space="preserve">IS - C3 Shelter - 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2C3E50"/>
          <w:spacing w:val="0"/>
          <w:sz w:val="24"/>
          <w:szCs w:val="24"/>
          <w:shd w:val="clear" w:fill="FFFFFF"/>
        </w:rPr>
        <w:t>Gree Electric Appliances Inc of Zhuhai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2C3E50"/>
          <w:spacing w:val="0"/>
          <w:sz w:val="24"/>
          <w:szCs w:val="24"/>
          <w:shd w:val="clear" w:fill="FFFFFF"/>
          <w:lang w:val="en-US" w:eastAsia="zh-CN"/>
        </w:rPr>
        <w:t xml:space="preserve"> - </w:t>
      </w:r>
      <w:r>
        <w:rPr>
          <w:rFonts w:hint="default" w:ascii="Arial" w:hAnsi="Arial" w:eastAsia="宋体" w:cs="Arial"/>
          <w:b w:val="0"/>
          <w:bCs w:val="0"/>
          <w:sz w:val="24"/>
          <w:szCs w:val="24"/>
        </w:rPr>
        <w:t>000651.SZ</w:t>
      </w:r>
    </w:p>
    <w:bookmarkEnd w:id="0"/>
    <w:p w14:paraId="363F1789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Investment Summary: Gree Electric Appliances Inc of Zhuhai</w:t>
      </w:r>
    </w:p>
    <w:p w14:paraId="69FA106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Date: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5 September 2025 -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Ticker: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000651.SZ -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Sector: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Furnishings, Fixtures &amp; Appliances; Consumer Cyclical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Prev. Close: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CN¥47.25 -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Market Cap: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CN¥264.6 billion -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Recommendation: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Buy</w:t>
      </w:r>
    </w:p>
    <w:p w14:paraId="418FCC79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Business Overview</w:t>
      </w:r>
    </w:p>
    <w:p w14:paraId="356D972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Gree Electric Appliances designs, manufactures, and markets residential and commercial HVAC systems (air conditioners, heat pumps) and small household appliances (refrigerators, washing machines), contributing 82% and 18% of 2024 group sales, respectively (fiscal year-end Dec). Air conditioners achieve a 32% gross margin and 68% of group profits; small appliances deliver a 28% margin and 32% of profits. Gree’s products serve homeowners (comfort climate control) and commercial customers (energy-efficient HVAC) with advanced inverter technology and smart-home integration. Strengths include leading inverter R&amp;D, strong brand equity in China, and state-backed balance sheet; challenges lie in cyclical demand swings, rising component costs, and intensifying competition from Xiaomi and Midea.</w:t>
      </w:r>
    </w:p>
    <w:p w14:paraId="59777F47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Business Performance</w:t>
      </w:r>
    </w:p>
    <w:p w14:paraId="517CCB6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5-year sales CAGR: +4.8%; consensus forecasting +3.2% for 2026</w:t>
      </w:r>
    </w:p>
    <w:p w14:paraId="4AAC738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5-year net profit CAGR: +6.1%; forecast +5.5% for 2026</w:t>
      </w:r>
    </w:p>
    <w:p w14:paraId="75D2874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Operating cash flow up 28% since 2020; 2024 cash flow of CN¥22 billion</w:t>
      </w:r>
    </w:p>
    <w:p w14:paraId="0E90548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Domestic HVAC market share: #1 by unit volume; global ranking #5</w:t>
      </w:r>
    </w:p>
    <w:p w14:paraId="12A5BDF7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Industry Context (HVAC)</w:t>
      </w:r>
    </w:p>
    <w:p w14:paraId="2584915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Product-cycle maturity: Late-stage; focus on energy efficiency upgrades</w:t>
      </w:r>
    </w:p>
    <w:p w14:paraId="403BD9B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Market size: CN¥400 billion in 2024; CAGR +6.0% through 2028</w:t>
      </w:r>
    </w:p>
    <w:p w14:paraId="73D6CE1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Gree’s HVAC share: 25% (industry average: 18%)</w:t>
      </w:r>
    </w:p>
    <w:p w14:paraId="573B032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3-year sales growth Gree vs. industry: 4.8% vs. 7.1%</w:t>
      </w:r>
    </w:p>
    <w:p w14:paraId="050558E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3-year EPS growth Gree vs. industry: 6.1% vs. 8.5%</w:t>
      </w:r>
    </w:p>
    <w:p w14:paraId="605B9FF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Debt/assets ratio: 22% vs. industry 28%</w:t>
      </w:r>
    </w:p>
    <w:p w14:paraId="42F6430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Cycle phase: Expansion driven by urbanization and replacement demand</w:t>
      </w:r>
    </w:p>
    <w:p w14:paraId="35BAAF6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Industry metric: Seasonal load factor; Gree’s units operate 12% more annual hours vs. peers</w:t>
      </w:r>
    </w:p>
    <w:p w14:paraId="33FEDF65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Financial Stability and Debt Levels</w:t>
      </w:r>
    </w:p>
    <w:p w14:paraId="67A00D7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Operating cash flow covers capital expenditures by 2.3×; dividend coverage at 1.5×. Cash on hand CN¥38 billion; current ratio 1.11 (industry healthy threshold &gt;1.3). Total debt CN¥58 billion; debt/equity 0.23; interest coverage 15.7×; Altman Z-Score 4.2, indicating low bankruptcy risk.</w:t>
      </w:r>
    </w:p>
    <w:p w14:paraId="6AFDD79B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Key Financials and Valuation</w:t>
      </w:r>
    </w:p>
    <w:p w14:paraId="1C65074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2024 sales: CN¥224.5 billion (+2.9% YoY); 2025 guidance CN¥231 billion (+3.0%)</w:t>
      </w:r>
    </w:p>
    <w:p w14:paraId="7C68AFC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Operating margin steady at 15.8%; expected 16.0% in 2025</w:t>
      </w:r>
    </w:p>
    <w:p w14:paraId="4737A55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TTM P/E: 7.74× vs. industry 10.8×; PEG: 1.3×; dividend yield: 6.5% (forward)</w:t>
      </w:r>
    </w:p>
    <w:p w14:paraId="1EB7F49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52-week range: CN¥36.74–52.73; current ~48th percentile</w:t>
      </w:r>
    </w:p>
    <w:p w14:paraId="214E262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Industry metrics:</w:t>
      </w:r>
    </w:p>
    <w:p w14:paraId="064E40B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Heating seasonal performance factor (HSPF): Gree 3.9 vs. avg 3.5—superior efficiency</w:t>
      </w:r>
    </w:p>
    <w:p w14:paraId="30EA145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Cooling seasonal energy eff. ratio (SEER): Gree 5.2 vs. avg 4.8</w:t>
      </w:r>
    </w:p>
    <w:p w14:paraId="04C19E8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Inverter penetration rate: Gree 88% vs. industry 75%—technology leadership</w:t>
      </w:r>
    </w:p>
    <w:p w14:paraId="46714D79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Big Trends and Events</w:t>
      </w:r>
    </w:p>
    <w:p w14:paraId="62ADABA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China’s “dual-carbon” policy: boosts energy-efficient HVAC retrofits; Gree poised to benefit</w:t>
      </w:r>
    </w:p>
    <w:p w14:paraId="0B66CFF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Rising commodity prices: margin pressure mitigated by long-term component contracts</w:t>
      </w:r>
    </w:p>
    <w:p w14:paraId="65A573B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Online competition: Xiaomi’s digital channels accelerate, prompting Gree’s omni-channel push</w:t>
      </w:r>
    </w:p>
    <w:p w14:paraId="5B9B7809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Customer Segments and Demand Trends</w:t>
      </w:r>
    </w:p>
    <w:p w14:paraId="4955FDC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Residential HVAC: CN¥148 billion (66%); +4% CAGR; driven by urban housing upgrades</w:t>
      </w:r>
    </w:p>
    <w:p w14:paraId="270B149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Commercial HVAC: CN¥36 billion (16%); +7% CAGR; data-center and campus projects</w:t>
      </w:r>
    </w:p>
    <w:p w14:paraId="7D1B48B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Small appliances: CN¥40 billion (18%); +5% CAGR; smart-kitchen trends</w:t>
      </w:r>
    </w:p>
    <w:p w14:paraId="75339A0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Complaints on price premium; substitutes include decentralized units (e.g., portable ACs)</w:t>
      </w:r>
    </w:p>
    <w:p w14:paraId="5A111752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Competitive Landscape</w:t>
      </w:r>
    </w:p>
    <w:p w14:paraId="13BC8A6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CR4 concentration: 62%; Gree (25%), Midea (22%), Haier (15%), Aux (10%)</w:t>
      </w:r>
    </w:p>
    <w:p w14:paraId="0753124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Competitors’ margins: Gree 15.8%; Midea 14.5%; Haier 13.2%</w:t>
      </w:r>
    </w:p>
    <w:p w14:paraId="4F1EA1E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Moat: patented inverter tech, government relationships, scale; Gree’s R&amp;D spend 4% of sales vs. peers 3%</w:t>
      </w:r>
    </w:p>
    <w:p w14:paraId="440B843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Battlefront: supply-chain integration—Gree’s captive compressor JV vs. Midea’s external suppliers</w:t>
      </w:r>
    </w:p>
    <w:p w14:paraId="5C4D864C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Risks and Anomalies</w:t>
      </w:r>
    </w:p>
    <w:p w14:paraId="546DEAF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H1 2025 revenue down 2.7% vs. net profit up 1.9%—channel reform effects</w:t>
      </w:r>
    </w:p>
    <w:p w14:paraId="44906D6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Litigation: patent disputes in Europe; provisions CN¥500 million</w:t>
      </w:r>
    </w:p>
    <w:p w14:paraId="623B40D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FX volatility on export margins</w:t>
      </w:r>
    </w:p>
    <w:p w14:paraId="57D427C3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Forecast and Outlook</w:t>
      </w:r>
    </w:p>
    <w:p w14:paraId="46D9B53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Management forecasts 2025 revenue +3.0%, EPS CN¥6.05 (+4%) led by inverter AC growth</w:t>
      </w:r>
    </w:p>
    <w:p w14:paraId="49259C2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Q2 2025 earnings missed consensus by 18% on revenue softness; cost controls limited profit drag</w:t>
      </w:r>
    </w:p>
    <w:p w14:paraId="7D850AE1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Leading Investment Firms and Views</w:t>
      </w:r>
    </w:p>
    <w:p w14:paraId="0D45B69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Consensus “Buy” from 25 analysts; average target CN¥54.75 (+15.9% upside; high CN¥59.15; low CN¥51.00)</w:t>
      </w:r>
    </w:p>
    <w:p w14:paraId="21AE746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Nomura: Buy, TP CN¥52.70</w:t>
      </w:r>
    </w:p>
    <w:p w14:paraId="12A08B03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Goldman Sachs: Overweight, TP CN¥55.00</w:t>
      </w:r>
    </w:p>
    <w:p w14:paraId="2B5B834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Piper Sandler: Neutral → Buy, TP CN¥54.00</w:t>
      </w:r>
    </w:p>
    <w:p w14:paraId="3B8EAD18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Recommended Action: Buy</w:t>
      </w:r>
    </w:p>
    <w:p w14:paraId="2E9925B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Pros:</w:t>
      </w:r>
    </w:p>
    <w:p w14:paraId="01902FA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Best-in-class inverter technology and strong market leadership</w:t>
      </w:r>
    </w:p>
    <w:p w14:paraId="787D45A8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Robust cash flow, low leverage, generous dividend yield (6.5%)</w:t>
      </w:r>
    </w:p>
    <w:p w14:paraId="5317978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Policy tailwinds in energy efficiency upgrades</w:t>
      </w:r>
    </w:p>
    <w:p w14:paraId="12FB947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Cons:</w:t>
      </w:r>
    </w:p>
    <w:p w14:paraId="741CBA59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Valuation near 5-year high; limited margin expansion</w:t>
      </w:r>
    </w:p>
    <w:p w14:paraId="7ACECEC0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Intensifying online competition could pressure volumes</w:t>
      </w:r>
    </w:p>
    <w:p w14:paraId="7273934A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Key Takeaways</w:t>
      </w:r>
    </w:p>
    <w:p w14:paraId="6ACE0D2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Gree’s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technology leadership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market dominance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, and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strong financial footing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provide an attractive risk-reward amid China’s HVAC expansion and energy-efficiency drive. Monitor channel reform execution and component costs for margin stability.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20CF66">
    <w:pPr>
      <w:pStyle w:val="6"/>
      <w:rPr>
        <w:rFonts w:hint="eastAsia"/>
        <w:lang w:val="en-US" w:eastAsia="zh-CN"/>
      </w:rPr>
    </w:pPr>
    <w:r>
      <w:rPr>
        <w:rFonts w:hint="eastAsia"/>
        <w:lang w:val="en-US" w:eastAsia="zh-CN"/>
      </w:rPr>
      <w:t>Jessica Zheng</w:t>
    </w:r>
  </w:p>
  <w:p w14:paraId="12572531">
    <w:pPr>
      <w:pStyle w:val="6"/>
      <w:rPr>
        <w:rFonts w:hint="eastAsia"/>
        <w:lang w:val="en-US" w:eastAsia="zh-CN"/>
      </w:rPr>
    </w:pPr>
    <w:r>
      <w:rPr>
        <w:rFonts w:hint="eastAsia"/>
        <w:lang w:val="en-US" w:eastAsia="zh-CN"/>
      </w:rPr>
      <w:t>5 September 2025</w:t>
    </w:r>
  </w:p>
  <w:p w14:paraId="0F63B9A0">
    <w:pPr>
      <w:pStyle w:val="6"/>
      <w:rPr>
        <w:rFonts w:hint="default"/>
        <w:lang w:val="en-US" w:eastAsia="zh-CN"/>
      </w:rPr>
    </w:pPr>
    <w:r>
      <w:rPr>
        <w:rFonts w:hint="eastAsia"/>
        <w:lang w:val="en-US" w:eastAsia="zh-CN"/>
      </w:rPr>
      <w:t>Using Perplexity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DC1EA0"/>
    <w:multiLevelType w:val="multilevel"/>
    <w:tmpl w:val="92DC1E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6142949"/>
    <w:multiLevelType w:val="multilevel"/>
    <w:tmpl w:val="961429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1DFBA75"/>
    <w:multiLevelType w:val="multilevel"/>
    <w:tmpl w:val="C1DFBA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3A76D6E"/>
    <w:multiLevelType w:val="multilevel"/>
    <w:tmpl w:val="D3A76D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819E774"/>
    <w:multiLevelType w:val="multilevel"/>
    <w:tmpl w:val="D819E7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9110E2D"/>
    <w:multiLevelType w:val="multilevel"/>
    <w:tmpl w:val="09110E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0A66399"/>
    <w:multiLevelType w:val="multilevel"/>
    <w:tmpl w:val="10A663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444F851"/>
    <w:multiLevelType w:val="multilevel"/>
    <w:tmpl w:val="1444F8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46A6A6D"/>
    <w:multiLevelType w:val="multilevel"/>
    <w:tmpl w:val="146A6A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B57BF08"/>
    <w:multiLevelType w:val="multilevel"/>
    <w:tmpl w:val="3B57BF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D63F0B1"/>
    <w:multiLevelType w:val="multilevel"/>
    <w:tmpl w:val="7D63F0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10"/>
  </w:num>
  <w:num w:numId="6">
    <w:abstractNumId w:val="7"/>
  </w:num>
  <w:num w:numId="7">
    <w:abstractNumId w:val="0"/>
  </w:num>
  <w:num w:numId="8">
    <w:abstractNumId w:val="1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BA5694"/>
    <w:rsid w:val="216E75E5"/>
    <w:rsid w:val="25BA5694"/>
    <w:rsid w:val="35176328"/>
    <w:rsid w:val="4A0E6F0B"/>
    <w:rsid w:val="55126C9E"/>
    <w:rsid w:val="56B72852"/>
    <w:rsid w:val="5DE27D97"/>
    <w:rsid w:val="5EE16635"/>
    <w:rsid w:val="63076D84"/>
    <w:rsid w:val="704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2025-09-05T06:27:00Z</dcterms:created>
  <dc:creator>Jessica</dc:creator>
  <cp:lastModifiedBy>Jessica</cp:lastModifiedBy>
  <dcterms:modified xsi:type="dcterms:W3CDTF">2025-09-05T06:49:58Z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85F724E85F544CE79EEB9DD2BF22748F_13</vt:lpwstr>
  </property>
  <property fmtid="{D5CDD505-2E9C-101B-9397-08002B2CF9AE}" pid="4" name="KSOTemplateDocerSaveRecord">
    <vt:lpwstr>eyJoZGlkIjoiYTQxOThlMTQ3ZDBkODcyMDkzOGU3NGUyNWU5NTI2YWQiLCJ1c2VySWQiOiI1ODkwNTQ4NTQifQ==</vt:lpwstr>
  </property>
</Properties>
</file>