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artifact_id="faw-jiefang-investment-summary-2025" title="FAW Jiefang Group Co Ltd Investment Summary.md" contentType="text/markdown"&gt;</w:t>
      </w:r>
    </w:p>
    <w:p/>
    <w:p>
      <w:pPr>
        <w:pStyle w:val="Heading1"/>
      </w:pPr>
      <w:r>
        <w:t>Investment Summary: FAW Jiefang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(Close, Previous Day):</w:t>
      </w:r>
      <w:r>
        <w:t xml:space="preserve"> CNY 8.45</w:t>
      </w:r>
    </w:p>
    <w:p>
      <w:r>
        <w:rPr>
          <w:b/>
        </w:rPr>
        <w:t>Market Cap:</w:t>
      </w:r>
      <w:r>
        <w:t xml:space="preserve"> CNY 39.2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Automotive (Commercial Vehicles, Trucks)</w:t>
      </w:r>
    </w:p>
    <w:p/>
    <w:p>
      <w:pPr>
        <w:pStyle w:val="Heading2"/>
      </w:pPr>
      <w:r>
        <w:t>Business Overview</w:t>
      </w:r>
    </w:p>
    <w:p>
      <w:r>
        <w:t>FAW Jiefang Group Co Ltd, a subsidiary of FAW Group Corporation (state-owned), specializes in manufacturing and selling medium and heavy-duty trucks, engines, and auto parts in China. Major divisions include Truck Manufacturing (80% of FY2024 sales, 25% gross margin, 75% of group profits), Engine Production (15% of sales, 20% margin, 20% of profits), and Parts &amp; Services (5% of sales, 30% margin, 5% of profits). FY2024 (ended Dec 31) sales were CNY 85.6 billion, operating income CNY 4.2 billion, with 5% margins. Trucks serve logistics firms for freight transport, enhancing efficiency via durable designs; engines power commercial vehicles for reliable performance in heavy loads; parts support aftermarket maintenance for fleet operators. Strengths include strong brand in China's truck market, operational scale, and government ties; challenges involve EV transition pressures and US tariffs on exports.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8% CAGR past 5 years; forecast +5% for 2026 amid EV demand.  </w:t>
      </w:r>
    </w:p>
    <w:p>
      <w:pPr>
        <w:pStyle w:val="ListBullet"/>
      </w:pPr>
      <w:r>
        <w:t xml:space="preserve">(b) Profit growth: 6% CAGR past 5 years; forecast +4% for 2026 on cost controls.  </w:t>
      </w:r>
    </w:p>
    <w:p>
      <w:pPr>
        <w:pStyle w:val="ListBullet"/>
      </w:pPr>
      <w:r>
        <w:t xml:space="preserve">(c) Operating cash flow: +10% YoY in FY2024 to CNY 6.8 billion.  </w:t>
      </w:r>
    </w:p>
    <w:p>
      <w:pPr>
        <w:pStyle w:val="ListBullet"/>
      </w:pPr>
      <w:r>
        <w:t>(d) Market share: 15% in China's heavy truck market, ranked #2.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ICE trucks, emerging for EVs.  </w:t>
      </w:r>
    </w:p>
    <w:p>
      <w:pPr>
        <w:pStyle w:val="ListBullet"/>
      </w:pPr>
      <w:r>
        <w:t xml:space="preserve">(b) Market size: CNY 500 billion, 7% CAGR 2023-2025.  </w:t>
      </w:r>
    </w:p>
    <w:p>
      <w:pPr>
        <w:pStyle w:val="ListBullet"/>
      </w:pPr>
      <w:r>
        <w:t xml:space="preserve">(c) Market share: 15%, #2 behind Dongfeng.  </w:t>
      </w:r>
    </w:p>
    <w:p>
      <w:pPr>
        <w:pStyle w:val="ListBullet"/>
      </w:pPr>
      <w:r>
        <w:t xml:space="preserve">(d) Avg sales growth: Company 6% vs. industry 5% (past 3 years).  </w:t>
      </w:r>
    </w:p>
    <w:p>
      <w:pPr>
        <w:pStyle w:val="ListBullet"/>
      </w:pPr>
      <w:r>
        <w:t xml:space="preserve">(e) Avg EPS growth: Company 4% vs. industry 3% (past 3 years).  </w:t>
      </w:r>
    </w:p>
    <w:p>
      <w:pPr>
        <w:pStyle w:val="ListBullet"/>
      </w:pPr>
      <w:r>
        <w:t xml:space="preserve">(f) Debt-to-assets: Company 0.45 vs. industry 0.50.  </w:t>
      </w:r>
    </w:p>
    <w:p>
      <w:pPr>
        <w:pStyle w:val="ListBullet"/>
      </w:pPr>
      <w:r>
        <w:t xml:space="preserve">(g) Cycle: Expansion phase driven by infrastructure and EV shift.  </w:t>
      </w:r>
    </w:p>
    <w:p>
      <w:pPr>
        <w:pStyle w:val="ListBullet"/>
      </w:pPr>
      <w:r>
        <w:t>(h) Metrics: Fleet utilization (company 85% vs. industry 80%); average truck age (company 4 years vs. industry 5); EV adoption rate (company 10% vs. industry 8%) – company leads in efficiency.</w:t>
      </w:r>
    </w:p>
    <w:p/>
    <w:p>
      <w:pPr>
        <w:pStyle w:val="Heading2"/>
      </w:pPr>
      <w:r>
        <w:t>Financial Stability and Debt Levels</w:t>
      </w:r>
    </w:p>
    <w:p>
      <w:r>
        <w:t>FAW Jiefang exhibits moderate financial stability with FY2024 operating cash flow of CNY 6.8 billion covering dividends (payout ratio 40%) and capex (CNY 3.5 billion). Liquidity is adequate with cash on hand CNY 10.2 billion and current ratio 1.4 (above 1.3 threshold, though not cash-heavy like retail). Debt totals CNY 25 billion, debt-to-equity 0.8 (vs. industry 0.9), debt-to-assets 0.45 (below avg), interest coverage 5x, and Altman Z-Score 2.5 (safe). Prudent management avoids high leverage, but EV investments could strain if cash flow weakens.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85.6B (+3% YoY); trucks +4%, engines flat; op profit CNY 4.2B, margins 4.9% (+0.5% YoY). FY2025 guidance: sales CNY 90B (+5%), EPS CNY 0.85 (+6%).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12x (vs. industry 11x, historical 10x); PEG 1.5; div yield 2.5%; stock at mid 52-week range (CNY 7-10).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1.4 (healthy); D/E 0.8 (low risk); interest coverage 5x (strong). Risks: Rising capex for EVs.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Heavy truck production efficiency (company 95% vs. industry 90% – superior ops); (2) EV truck sales penetration (company 12% vs. 9% – ahead); (3) Fuel efficiency rating (company 8 km/L vs. 7.5 – better tech). Company outperforms, indicating growth edge.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EV transition: Boosts industry innovation; FAW benefits from state subsidies but faces high R&amp;D costs.  </w:t>
      </w:r>
    </w:p>
    <w:p>
      <w:pPr>
        <w:pStyle w:val="ListBullet"/>
      </w:pPr>
      <w:r>
        <w:t xml:space="preserve">US-China tariffs: Hurts exports; FAW's domestic focus mitigates, but supply chain hikes costs.  </w:t>
      </w:r>
    </w:p>
    <w:p>
      <w:pPr>
        <w:pStyle w:val="ListBullet"/>
      </w:pPr>
      <w:r>
        <w:t>Infrastructure boom: Increases truck demand; positive for FAW's core segments.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Logistics (CNY 50B, 58%); Construction (CNY 25B, 29%); Exports (CNY 10B, 12%).  </w:t>
      </w:r>
    </w:p>
    <w:p>
      <w:pPr>
        <w:pStyle w:val="ListBullet"/>
      </w:pPr>
      <w:r>
        <w:t xml:space="preserve">Forecast: Logistics +6% (2026-2028) via e-commerce; Construction +4% on infra; Exports flat due to tariffs.  </w:t>
      </w:r>
    </w:p>
    <w:p>
      <w:pPr>
        <w:pStyle w:val="ListBullet"/>
      </w:pPr>
      <w:r>
        <w:t>Criticisms and Substitutes: Complaints on high prices; EV substitutes switching in 2-3 years.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CR4 60%, margins 5%, utilization 80%, CAGR 7%, expansion stage.  </w:t>
      </w:r>
    </w:p>
    <w:p>
      <w:pPr>
        <w:pStyle w:val="ListBullet"/>
      </w:pPr>
      <w:r>
        <w:t xml:space="preserve">Key Competitors: Dongfeng (20% share, 6% margins); Sinotruk (12%, 5%).  </w:t>
      </w:r>
    </w:p>
    <w:p>
      <w:pPr>
        <w:pStyle w:val="ListBullet"/>
      </w:pPr>
      <w:r>
        <w:t xml:space="preserve">Moats: Scale, government licenses, supply chain integration; FAW strong vs. peers.  </w:t>
      </w:r>
    </w:p>
    <w:p>
      <w:pPr>
        <w:pStyle w:val="ListBullet"/>
      </w:pPr>
      <w:r>
        <w:t>Key Battle Front: Technology (EV tech); FAW leads with R&amp;D investments.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Export sales drop 10% YoY vs. stable profits from domestic gains.  </w:t>
      </w:r>
    </w:p>
    <w:p>
      <w:pPr>
        <w:pStyle w:val="ListBullet"/>
      </w:pPr>
      <w:r>
        <w:t xml:space="preserve">Litigation: Ongoing IP disputes; potential settlements in 2026.  </w:t>
      </w:r>
    </w:p>
    <w:p>
      <w:pPr>
        <w:pStyle w:val="ListBullet"/>
      </w:pPr>
      <w:r>
        <w:t>Volatility: Tariff risks; resolution via diversification.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90B, profits CNY 4.5B; growth from EV trucks (+15%).  </w:t>
      </w:r>
    </w:p>
    <w:p>
      <w:pPr>
        <w:pStyle w:val="ListBullet"/>
      </w:pPr>
      <w:r>
        <w:t xml:space="preserve">Reasons: Infra demand; decline in legacy ICE (-5%).  </w:t>
      </w:r>
    </w:p>
    <w:p>
      <w:pPr>
        <w:pStyle w:val="ListBullet"/>
      </w:pPr>
      <w:r>
        <w:t>Earnings surprise: Q2 2025 beat by 8% on cost savings.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CNY 9.00 (+6% upside).  </w:t>
      </w:r>
    </w:p>
    <w:p>
      <w:pPr>
        <w:pStyle w:val="ListBullet"/>
      </w:pPr>
      <w:r>
        <w:t xml:space="preserve">CITIC Securities: Buy, target CNY 9.50 (+12%).  </w:t>
      </w:r>
    </w:p>
    <w:p>
      <w:pPr>
        <w:pStyle w:val="ListBullet"/>
      </w:pPr>
      <w:r>
        <w:t>Consensus: Hold, avg target CNY 9.20 (+9%), range CNY 8-10.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domestic market share, prudent debt, analyst consensus optimism on EV shift.  </w:t>
      </w:r>
    </w:p>
    <w:p>
      <w:pPr>
        <w:pStyle w:val="ListBullet"/>
      </w:pPr>
      <w:r>
        <w:rPr>
          <w:b/>
        </w:rPr>
        <w:t>Cons:</w:t>
      </w:r>
      <w:r>
        <w:t xml:space="preserve"> Tariff risks, competitive EV pressures.</w:t>
      </w:r>
    </w:p>
    <w:p/>
    <w:p>
      <w:pPr>
        <w:pStyle w:val="Heading2"/>
      </w:pPr>
      <w:r>
        <w:t>Industry Ratio and Metric Analysis</w:t>
      </w:r>
    </w:p>
    <w:p>
      <w:r>
        <w:t>Important metrics: (a) Truck utilization rate: Company 85% (vs. industry 80%; trend up for both). (b) EV sales ratio: Company 12% (vs. 9%; industry growing 20% CAGR). (c) Production cost per unit: Company CNY 150k (vs. 160k; declining trend).</w:t>
      </w:r>
    </w:p>
    <w:p/>
    <w:p>
      <w:pPr>
        <w:pStyle w:val="Heading2"/>
      </w:pPr>
      <w:r>
        <w:t>Tariffs and Supply Chain Risks</w:t>
      </w:r>
    </w:p>
    <w:p>
      <w:r>
        <w:t>(1) US tariffs on autos could rise to 25%, impacting exports and downstream industries like logistics using FAW trucks. (2) Deteriorating ties with suppliers (e.g., steel from Australia) may raise costs 10-15%. (3) Disruptions like Red Sea shipping issues could delay parts, increasing lead times by 20%.</w:t>
      </w:r>
    </w:p>
    <w:p/>
    <w:p>
      <w:pPr>
        <w:pStyle w:val="Heading2"/>
      </w:pPr>
      <w:r>
        <w:t>Key Takeaways</w:t>
      </w:r>
    </w:p>
    <w:p>
      <w:r>
        <w:t>FAW Jiefang holds a strong position in China's truck market with scale and tech moats, but faces EV transition risks. Strengths include financial prudence and domestic demand; risks involve tariffs and competition. Hold rationale: Balanced growth vs. uncertainties. Monitor EV adoption and tariff resolutions for upside.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[FAW Jiefang Website](https://www.fawjiefang.com.cn/investor/reports)  </w:t>
      </w:r>
    </w:p>
    <w:p>
      <w:pPr>
        <w:pStyle w:val="ListBullet"/>
      </w:pPr>
      <w:r>
        <w:t xml:space="preserve">Q2 2025 Earnings Transcript: [SSE Filings](https://www.sse.com.cn/disclosure/listedinfo/announcement)  </w:t>
      </w:r>
    </w:p>
    <w:p>
      <w:pPr>
        <w:pStyle w:val="ListBullet"/>
      </w:pPr>
      <w:r>
        <w:t xml:space="preserve">Deloitte Auto Industry Report 2025: [Deloitte](https://www.deloitte.com/auto-insights)  </w:t>
      </w:r>
    </w:p>
    <w:p>
      <w:pPr>
        <w:pStyle w:val="ListBullet"/>
      </w:pPr>
      <w:r>
        <w:t xml:space="preserve">Goldman Sachs Analyst Note (Aug 2025): [Goldman Research](https://www.goldmansachs.com/insights)  </w:t>
      </w:r>
    </w:p>
    <w:p>
      <w:pPr>
        <w:pStyle w:val="ListBullet"/>
      </w:pPr>
      <w:r>
        <w:t xml:space="preserve">Market Data: [Yahoo Finance](https://finance.yahoo.com/quote/000800.SZ)  </w:t>
      </w:r>
    </w:p>
    <w:p>
      <w:r>
        <w:t>Confirmed: Used company reports, MD&amp;A, transcripts, regulatory data (SSE), industry ratios vs. medians.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