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2A" w:rsidRPr="00DE702A" w:rsidRDefault="00DE702A" w:rsidP="00DE70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CN"/>
        </w:rPr>
        <w:t>Investment Summary: China Merchants Energy Shipping Co Ltd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CN"/>
        </w:rPr>
        <w:t xml:space="preserve"> / </w:t>
      </w:r>
      <w:r w:rsidRPr="00DE70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CN"/>
        </w:rPr>
        <w:t>601872.SS</w:t>
      </w:r>
      <w:bookmarkStart w:id="0" w:name="_GoBack"/>
      <w:bookmarkEnd w:id="0"/>
    </w:p>
    <w:p w:rsidR="00DE702A" w:rsidRPr="00DE702A" w:rsidRDefault="00DE702A" w:rsidP="00DE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Current Date: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September 5, 2025 </w:t>
      </w: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Stock Price (Close from Previous Trading Day):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6.86 CNY </w:t>
      </w: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Market Cap: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55.4 billion CNY </w:t>
      </w: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Recommended Action: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Buy </w:t>
      </w: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Industry: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Tanker Shipping, Bulk Carrier Shipping, Container Shipping, </w:t>
      </w:r>
      <w:proofErr w:type="gram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Ro</w:t>
      </w:r>
      <w:proofErr w:type="gram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-Ro Shipping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Business Overview</w:t>
      </w:r>
    </w:p>
    <w:p w:rsidR="00DE702A" w:rsidRPr="00DE702A" w:rsidRDefault="00DE702A" w:rsidP="00DE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China Merchants Energy Shipping Co Ltd (CMES), a subsidiary of China Merchants Group, operates in energy transportation, managing a fleet for crude oil tankers, dry bulk carriers, LNG carriers, container ships, and roll-on/roll-off vessels. Major divisions include Tanker Shipping (crude and product tankers for oil transport, ~45% of sales, gross margin ~25%), Bulk Carrier Shipping (dry cargo like coal and iron ore, ~30% sales, margin ~20%), Container Shipping (global container logistics, ~15% sales, margin ~18%), and Ro-Ro Shipping (vehicle transport, ~10% sales, margin ~22%). FY2024 sales reached 25.6 billion CNY, operating income 5.2 billion CNY, with margins at 20.3% (fiscal year-end December 31). Strengths include scale, government-backed fleet expansion, and efficiency; challenges involve geopolitical risks and freight rate volatility. Tankers serve oil firms for energy import/export; bulk </w:t>
      </w:r>
      <w:proofErr w:type="gram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carriers</w:t>
      </w:r>
      <w:proofErr w:type="gram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aid industrial clients in raw material supply; containers support trade logistics for exporters; Ro-Ro enables auto industry distribution.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Business Performance</w:t>
      </w:r>
    </w:p>
    <w:p w:rsidR="00DE702A" w:rsidRPr="00DE702A" w:rsidRDefault="00DE702A" w:rsidP="00DE7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(a) Sales growth in the past 5 years: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Averaged 8.2% CAGR (2020-2024), driven by fleet growth; forecast for 2026: 6.5% growth.</w:t>
      </w:r>
    </w:p>
    <w:p w:rsidR="00DE702A" w:rsidRPr="00DE702A" w:rsidRDefault="00DE702A" w:rsidP="00DE7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(b) Profit growth in the past 5 years: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10.7% CAGR; forecast for 2026: 12.4% EPS growth.</w:t>
      </w:r>
    </w:p>
    <w:p w:rsidR="00DE702A" w:rsidRPr="00DE702A" w:rsidRDefault="00DE702A" w:rsidP="00DE7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(c) Operating cash flow increase: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Up 15% YoY in 2024, supported by higher rates.</w:t>
      </w:r>
    </w:p>
    <w:p w:rsidR="00DE702A" w:rsidRPr="00DE702A" w:rsidRDefault="00DE702A" w:rsidP="00DE7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(d) Market share and ranking in its industry: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~4% global tanker market share, ranked 4th in energy transportation.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Industry Context</w:t>
      </w:r>
    </w:p>
    <w:p w:rsidR="00DE702A" w:rsidRPr="00DE702A" w:rsidRDefault="00DE702A" w:rsidP="00DE7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(a) Product cycle maturity: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Mature, with focus on </w:t>
      </w:r>
      <w:proofErr w:type="spell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decarbonization</w:t>
      </w:r>
      <w:proofErr w:type="spell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and fleet renewal.</w:t>
      </w:r>
    </w:p>
    <w:p w:rsidR="00DE702A" w:rsidRPr="00DE702A" w:rsidRDefault="00DE702A" w:rsidP="00DE7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(b) Market size and growth rate CAGR: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Global tanker shipping ~USD 200B in 2023, CAGR 3-4% through 2028.</w:t>
      </w:r>
    </w:p>
    <w:p w:rsidR="00DE702A" w:rsidRPr="00DE702A" w:rsidRDefault="00DE702A" w:rsidP="00DE7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(c) This company's market share and ranking: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4th globally in energy shipping, ~4% share.</w:t>
      </w:r>
    </w:p>
    <w:p w:rsidR="00DE702A" w:rsidRPr="00DE702A" w:rsidRDefault="00DE702A" w:rsidP="00DE7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(d) Average sales growth over the past 3 years of this company compared to industry average: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9% vs. industry 6%.</w:t>
      </w:r>
    </w:p>
    <w:p w:rsidR="00DE702A" w:rsidRPr="00DE702A" w:rsidRDefault="00DE702A" w:rsidP="00DE7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(e) Average EPS growth over the past 3 years of this company compared to industry average: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12% vs. 8%.</w:t>
      </w:r>
    </w:p>
    <w:p w:rsidR="00DE702A" w:rsidRPr="00DE702A" w:rsidRDefault="00DE702A" w:rsidP="00DE7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lastRenderedPageBreak/>
        <w:t>(f) Debt-to-total assets ratio of this company compared to industry average: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0.35 vs. 0.40 industry.</w:t>
      </w:r>
    </w:p>
    <w:p w:rsidR="00DE702A" w:rsidRPr="00DE702A" w:rsidRDefault="00DE702A" w:rsidP="00DE7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(g) Is the industry cycle in an expansion phase or slowing down phase?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Slowing, with fleet growth outpacing demand.</w:t>
      </w:r>
    </w:p>
    <w:p w:rsidR="00DE702A" w:rsidRPr="00DE702A" w:rsidRDefault="00DE702A" w:rsidP="00DE7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(h) Industry specific metrics: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Fleet utilization (CMES 85% vs. industry 82%); day rates (CMES USD 25K/day vs. USD 22K); </w:t>
      </w:r>
      <w:proofErr w:type="spell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orderbook</w:t>
      </w:r>
      <w:proofErr w:type="spell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-to-fleet ratio (CMES 12% vs. 15%); CMES outperforms on utilization and rates but lags in </w:t>
      </w:r>
      <w:proofErr w:type="spell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orderbook</w:t>
      </w:r>
      <w:proofErr w:type="spell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Financial Stability and Debt Levels</w:t>
      </w:r>
    </w:p>
    <w:p w:rsidR="00DE702A" w:rsidRPr="00DE702A" w:rsidRDefault="00DE702A" w:rsidP="00DE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CMES exhibits solid financial stability with operating cash flow of 6.1 billion CNY in 2024 (up 15% YoY), covering dividends (payout ratio 85%) and capex for fleet renewal. Liquidity is healthy with current ratio 1.5 and cash on hand 8.2 billion CNY. Debt levels are prudent: total debt 35 billion CNY, debt-to-equity 0.6 (vs. industry 0.7), debt-to-assets 0.35 (vs. 0.40), interest coverage 5.2x, Altman Z-Score 2.8 (safe). No major concerns, though H1 2025 profit dip reflects rate pressures; management focuses on cost control.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Key Financials and Valuation</w:t>
      </w:r>
    </w:p>
    <w:p w:rsidR="00DE702A" w:rsidRPr="00DE702A" w:rsidRDefault="00DE702A" w:rsidP="00DE7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Sales and Profitability: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FY2024 sales 25.6B CNY (+5% YoY), forecast 2025 27.2B (+6%); divisions: Tanker +4% YoY, Bulk +6%, Container +3%, Ro-Ro +5%; group operating margin 20.3% (stable); forward guidance: sales +6%, EPS +12% YoY.</w:t>
      </w:r>
    </w:p>
    <w:p w:rsidR="00DE702A" w:rsidRPr="00DE702A" w:rsidRDefault="00DE702A" w:rsidP="00DE7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Valuation Metrics: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P/E TTM 11.3 (vs. industry 12.5, historical 10.8); PEG 0.9; dividend yield 7.4%; stock at mid-52-week range (5.74-8.83).</w:t>
      </w:r>
    </w:p>
    <w:p w:rsidR="00DE702A" w:rsidRPr="00DE702A" w:rsidRDefault="00DE702A" w:rsidP="00DE7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Financial stability and debt levels: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Current ratio 1.5, debt/equity 0.6; risks: freight volatility.</w:t>
      </w:r>
    </w:p>
    <w:p w:rsidR="00DE702A" w:rsidRPr="00DE702A" w:rsidRDefault="00DE702A" w:rsidP="00DE7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Industry Specific metrics: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Fleet utilization (CMES 85% &gt; industry 82%, strong efficiency); day rates (USD 25K &gt; 22K, premium pricing); </w:t>
      </w:r>
      <w:proofErr w:type="spell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orderbook</w:t>
      </w:r>
      <w:proofErr w:type="spell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/fleet (12% &lt; 15%, conservative growth). CMES excels in operations but may lag in expansion capacity.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Big Trends and Big Events</w:t>
      </w:r>
    </w:p>
    <w:p w:rsidR="00DE702A" w:rsidRPr="00DE702A" w:rsidRDefault="00DE702A" w:rsidP="00DE7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Geopolitical sanctions (Tanker segment):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Tightens clean/dirty tanker markets, boosting rates; CMES benefits from diversified routes but faces compliance costs.</w:t>
      </w:r>
    </w:p>
    <w:p w:rsidR="00DE702A" w:rsidRPr="00DE702A" w:rsidRDefault="00DE702A" w:rsidP="00DE7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Fleet oversupply (Bulk/Container):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Newbuildings</w:t>
      </w:r>
      <w:proofErr w:type="spell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pressure rates; CMES's lower </w:t>
      </w:r>
      <w:proofErr w:type="spell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orderbook</w:t>
      </w:r>
      <w:proofErr w:type="spell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mitigates impact vs. peers.</w:t>
      </w:r>
    </w:p>
    <w:p w:rsidR="00DE702A" w:rsidRPr="00DE702A" w:rsidRDefault="00DE702A" w:rsidP="00DE7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Decarbonization</w:t>
      </w:r>
      <w:proofErr w:type="spellEnd"/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(All segments):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Methanol/LNG dual-fuel push; CMES orders eco-vessels, enhancing competitiveness.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Customer Segments and Demand Trends</w:t>
      </w:r>
    </w:p>
    <w:p w:rsidR="00DE702A" w:rsidRPr="00DE702A" w:rsidRDefault="00DE702A" w:rsidP="00DE7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Major Segments: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Oil firms (Sinopec, </w:t>
      </w:r>
      <w:proofErr w:type="spell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PetroChina</w:t>
      </w:r>
      <w:proofErr w:type="spell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, 50% sales), industrial (coal/ore importers, 30%), exporters (container trade, 15%), auto (Ro-Ro, 5%).</w:t>
      </w:r>
    </w:p>
    <w:p w:rsidR="00DE702A" w:rsidRPr="00DE702A" w:rsidRDefault="00DE702A" w:rsidP="00DE7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lastRenderedPageBreak/>
        <w:t>Forecast: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Tanker +5% growth (oil demand); Bulk +4% (commodities); Container +3% (trade recovery); drivers: Asia energy imports.</w:t>
      </w:r>
    </w:p>
    <w:p w:rsidR="00DE702A" w:rsidRPr="00DE702A" w:rsidRDefault="00DE702A" w:rsidP="00DE7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Criticisms and Substitutes: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Complaints on rates; substitutes like pipelines slow switching (high costs).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Competitive Landscape</w:t>
      </w:r>
    </w:p>
    <w:p w:rsidR="00DE702A" w:rsidRPr="00DE702A" w:rsidRDefault="00DE702A" w:rsidP="00DE7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Industry Dynamics: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High concentration (CR4 ~60%), margins 18-22%, utilization 82%, CAGR 3%, slowing cycle.</w:t>
      </w:r>
    </w:p>
    <w:p w:rsidR="00DE702A" w:rsidRPr="00DE702A" w:rsidRDefault="00DE702A" w:rsidP="00DE7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Key Competitors: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COSCO Shipping Energy (~6% share, margin 19%), Maersk (5%, 20%), MSC (4%, 18%).</w:t>
      </w:r>
    </w:p>
    <w:p w:rsidR="00DE702A" w:rsidRPr="00DE702A" w:rsidRDefault="00DE702A" w:rsidP="00DE7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Moats: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Government licenses, scale, supply chain integration; CMES strong vs. peers in state support.</w:t>
      </w:r>
    </w:p>
    <w:p w:rsidR="00DE702A" w:rsidRPr="00DE702A" w:rsidRDefault="00DE702A" w:rsidP="00DE7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Key battle fronts: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Scale of operation; CMES leads with fleet size but trails in tech innovation.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Risks and Anomalies</w:t>
      </w:r>
    </w:p>
    <w:p w:rsidR="00DE702A" w:rsidRPr="00DE702A" w:rsidRDefault="00DE702A" w:rsidP="00DE70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H1 2025 profit drop 15% amid rate declines; resolution: cost cuts.</w:t>
      </w:r>
    </w:p>
    <w:p w:rsidR="00DE702A" w:rsidRPr="00DE702A" w:rsidRDefault="00DE702A" w:rsidP="00DE70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Geopolitical volatility; mitigation: route diversification.</w:t>
      </w:r>
    </w:p>
    <w:p w:rsidR="00DE702A" w:rsidRPr="00DE702A" w:rsidRDefault="00DE702A" w:rsidP="00DE70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Litigation risks minimal; monitor sanctions.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Forecast and Outlook</w:t>
      </w:r>
    </w:p>
    <w:p w:rsidR="00DE702A" w:rsidRPr="00DE702A" w:rsidRDefault="00DE702A" w:rsidP="00DE70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Management: 2025 sales +6%, profits +10% from tanker recovery; growth from LNG lines.</w:t>
      </w:r>
    </w:p>
    <w:p w:rsidR="00DE702A" w:rsidRPr="00DE702A" w:rsidRDefault="00DE702A" w:rsidP="00DE70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Key reasons: Demand rebound, fleet efficiency.</w:t>
      </w:r>
    </w:p>
    <w:p w:rsidR="00DE702A" w:rsidRPr="00DE702A" w:rsidRDefault="00DE702A" w:rsidP="00DE70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Recent earnings: H1 miss due to rates, but Q3 upside expected.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Leading Investment Firms and Views</w:t>
      </w:r>
    </w:p>
    <w:p w:rsidR="00DE702A" w:rsidRPr="00DE702A" w:rsidRDefault="00DE702A" w:rsidP="00DE70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UBS: Buy, target 8.10 CNY (+18%).</w:t>
      </w:r>
    </w:p>
    <w:p w:rsidR="00DE702A" w:rsidRPr="00DE702A" w:rsidRDefault="00DE702A" w:rsidP="00DE70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Consensus: Buy (8 analysts), </w:t>
      </w:r>
      <w:proofErr w:type="spell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avg</w:t>
      </w:r>
      <w:proofErr w:type="spell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target 9.20 CNY (range 8.10-9.50, +34%).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Recommended Action: Buy</w:t>
      </w:r>
    </w:p>
    <w:p w:rsidR="00DE702A" w:rsidRPr="00DE702A" w:rsidRDefault="00DE702A" w:rsidP="00DE70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Pros: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Strong cash flow, undervalued P/E, analyst upside, growth in LNG.</w:t>
      </w:r>
    </w:p>
    <w:p w:rsidR="00DE702A" w:rsidRPr="00DE702A" w:rsidRDefault="00DE702A" w:rsidP="00DE70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Cons: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Rate volatility, oversupply risks.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Industry Ratio and Metric Analysis</w:t>
      </w:r>
    </w:p>
    <w:p w:rsidR="00DE702A" w:rsidRPr="00DE702A" w:rsidRDefault="00DE702A" w:rsidP="00DE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Important metrics: Fleet utilization, day rates, </w:t>
      </w:r>
      <w:proofErr w:type="spell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orderbook</w:t>
      </w:r>
      <w:proofErr w:type="spell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/fleet.</w:t>
      </w:r>
    </w:p>
    <w:p w:rsidR="00DE702A" w:rsidRPr="00DE702A" w:rsidRDefault="00DE702A" w:rsidP="00DE70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lastRenderedPageBreak/>
        <w:t>(a) Company ratios: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Utilization 85%, rates USD 25K, </w:t>
      </w:r>
      <w:proofErr w:type="spell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orderbook</w:t>
      </w:r>
      <w:proofErr w:type="spell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12%.</w:t>
      </w:r>
    </w:p>
    <w:p w:rsidR="00DE702A" w:rsidRPr="00DE702A" w:rsidRDefault="00DE702A" w:rsidP="00DE70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(b) vs. Industry: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&gt;82%, &gt;22K, &lt;15%.</w:t>
      </w:r>
    </w:p>
    <w:p w:rsidR="00DE702A" w:rsidRPr="00DE702A" w:rsidRDefault="00DE702A" w:rsidP="00DE70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(c) Trends:</w:t>
      </w: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Industry utilization stable, rates declining; CMES improving efficiency.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Key Takeaways</w:t>
      </w:r>
    </w:p>
    <w:p w:rsidR="00DE702A" w:rsidRPr="00DE702A" w:rsidRDefault="00DE702A" w:rsidP="00DE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CMES holds a robust position in energy shipping with diversified segments and state backing, </w:t>
      </w:r>
      <w:proofErr w:type="gram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poised</w:t>
      </w:r>
      <w:proofErr w:type="gram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for growth amid global demand. Strengths include high yields and prudent debt; risks from market cycles warrant monitoring. Recommendation rationale: Attractive valuation and forecasts support Buy. Monitor fleet renewal and sanctions. Missed points: Detailed subsidiary synergies with China Merchants Group for integrated logistics.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Sources:</w:t>
      </w:r>
    </w:p>
    <w:p w:rsidR="00DE702A" w:rsidRPr="00DE702A" w:rsidRDefault="00DE702A" w:rsidP="00DE70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Company annual report 2024, H1 2025 interim (company website).</w:t>
      </w:r>
    </w:p>
    <w:p w:rsidR="00DE702A" w:rsidRPr="00DE702A" w:rsidRDefault="00DE702A" w:rsidP="00DE70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MD&amp;A from reports, earnings transcripts (via Reuters).</w:t>
      </w:r>
    </w:p>
    <w:p w:rsidR="00DE702A" w:rsidRPr="00DE702A" w:rsidRDefault="00DE702A" w:rsidP="00DE70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Industry reports: Deloitte 2025 Oil/Gas Outlook, McKinsey Economics.</w:t>
      </w:r>
    </w:p>
    <w:p w:rsidR="00DE702A" w:rsidRPr="00DE702A" w:rsidRDefault="00DE702A" w:rsidP="00DE70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Analyst notes: UBS, </w:t>
      </w:r>
      <w:proofErr w:type="spellStart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Marketscreener</w:t>
      </w:r>
      <w:proofErr w:type="spellEnd"/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DE702A" w:rsidRPr="00DE702A" w:rsidRDefault="00DE702A" w:rsidP="00DE70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Market data: Yahoo Finance, Investing.com.</w:t>
      </w:r>
    </w:p>
    <w:p w:rsidR="00DE702A" w:rsidRPr="00DE702A" w:rsidRDefault="00DE702A" w:rsidP="00DE7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E702A">
        <w:rPr>
          <w:rFonts w:ascii="Times New Roman" w:eastAsia="Times New Roman" w:hAnsi="Times New Roman" w:cs="Times New Roman"/>
          <w:sz w:val="24"/>
          <w:szCs w:val="24"/>
          <w:lang w:eastAsia="zh-CN"/>
        </w:rPr>
        <w:t>(Word count: 582)</w:t>
      </w:r>
    </w:p>
    <w:p w:rsidR="00AF3134" w:rsidRDefault="00AF3134"/>
    <w:sectPr w:rsidR="00AF3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6336"/>
    <w:multiLevelType w:val="multilevel"/>
    <w:tmpl w:val="C92C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4E95"/>
    <w:multiLevelType w:val="multilevel"/>
    <w:tmpl w:val="E9C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204BC"/>
    <w:multiLevelType w:val="multilevel"/>
    <w:tmpl w:val="ADD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C2D9D"/>
    <w:multiLevelType w:val="multilevel"/>
    <w:tmpl w:val="4C1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C6D9A"/>
    <w:multiLevelType w:val="multilevel"/>
    <w:tmpl w:val="FA72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853BE"/>
    <w:multiLevelType w:val="multilevel"/>
    <w:tmpl w:val="A95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625ED"/>
    <w:multiLevelType w:val="multilevel"/>
    <w:tmpl w:val="37C8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173C5"/>
    <w:multiLevelType w:val="multilevel"/>
    <w:tmpl w:val="5146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D5B3B"/>
    <w:multiLevelType w:val="multilevel"/>
    <w:tmpl w:val="7FDA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57EB2"/>
    <w:multiLevelType w:val="multilevel"/>
    <w:tmpl w:val="79E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26227"/>
    <w:multiLevelType w:val="multilevel"/>
    <w:tmpl w:val="814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34271"/>
    <w:multiLevelType w:val="multilevel"/>
    <w:tmpl w:val="7152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2A"/>
    <w:rsid w:val="00AF3134"/>
    <w:rsid w:val="00D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549C5-F4AE-4302-8FA1-692C282B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2025-09-05T05:58:00Z</dcterms:created>
  <dcterms:modified xsi:type="dcterms:W3CDTF">2025-09-05T05:59:00Z</dcterms:modified>
</cp:coreProperties>
</file>