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&lt;Artifact artifactType="article-summary" title="China Merchants Expressway Network Technology Holdings Co Ltd Investment Summary.md" contentType="text/markdown" artifact_id="china-merchants-expressway-summary-2025"&gt;</w:t>
      </w:r>
    </w:p>
    <w:p/>
    <w:p>
      <w:pPr>
        <w:pStyle w:val="Heading1"/>
      </w:pPr>
      <w:r>
        <w:t>Investment Summary: China Merchants Expressway Network Technology Holdings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12.45</w:t>
      </w:r>
    </w:p>
    <w:p>
      <w:r>
        <w:rPr>
          <w:b/>
        </w:rPr>
        <w:t>Market Cap:</w:t>
      </w:r>
      <w:r>
        <w:t xml:space="preserve"> CNY 20.5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Intelligent Transportation Systems (ITS), Toll Road Infrastructure, and Digital Network Technology</w:t>
      </w:r>
    </w:p>
    <w:p/>
    <w:p>
      <w:pPr>
        <w:pStyle w:val="Heading2"/>
      </w:pPr>
      <w:r>
        <w:t>Business Overview</w:t>
      </w:r>
    </w:p>
    <w:p>
      <w:r>
        <w:t>China Merchants Expressway Network Technology Holdings Co Ltd (001965.SZ), a subsidiary of China Merchants Group, focuses on intelligent transportation solutions, toll collection systems, and expressway network management. Major divisions include ITS (60% of sales, 65% gross profit margin, contributing 70% to group profits), Infrastructure Services (30% of sales, 55% gross profit margin, 25% group profits), and Digital Platforms (10% of sales, 50% gross profit margin, 5% group profits). FY2024 sales reached CNY 15.2 billion, with operating income of CNY 3.8 billion and margins at 25%. Fiscal year-end is December 31. ITS products enable real-time traffic monitoring for government agencies, reducing congestion by 20%; Infrastructure Services provide maintenance for toll roads, enhancing safety for logistics firms. Strengths include advanced AI tech and state-backed contracts; challenges involve regulatory changes and competition from tech giants.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>(a) Sales growth: Averaged 8% CAGR over past 5 years; forecast 10% for 2026 due to infrastructure investments.</w:t>
      </w:r>
    </w:p>
    <w:p>
      <w:pPr>
        <w:pStyle w:val="ListBullet"/>
      </w:pPr>
      <w:r>
        <w:t>(b) Profit growth: 7% CAGR past 5 years; forecast 9% for 2026 from efficiency gains.</w:t>
      </w:r>
    </w:p>
    <w:p>
      <w:pPr>
        <w:pStyle w:val="ListBullet"/>
      </w:pPr>
      <w:r>
        <w:t>(c) Operating cash flow: Increased 12% YoY in FY2024 to CNY 4.5 billion.</w:t>
      </w:r>
    </w:p>
    <w:p>
      <w:pPr>
        <w:pStyle w:val="ListBullet"/>
      </w:pPr>
      <w:r>
        <w:t>(d) Market share: 15% in China's ITS sector, ranked #3.</w:t>
      </w:r>
    </w:p>
    <w:p/>
    <w:p>
      <w:pPr>
        <w:pStyle w:val="Heading2"/>
      </w:pPr>
      <w:r>
        <w:t>Industry Context</w:t>
      </w:r>
    </w:p>
    <w:p>
      <w:r>
        <w:t>For ITS and Toll Infrastructure industries:</w:t>
      </w:r>
    </w:p>
    <w:p>
      <w:pPr>
        <w:pStyle w:val="ListBullet"/>
      </w:pPr>
      <w:r>
        <w:t xml:space="preserve">(a) Product cycle: Mature in toll systems, emerging in AI-driven ITS.  </w:t>
      </w:r>
    </w:p>
    <w:p>
      <w:pPr>
        <w:pStyle w:val="ListBullet"/>
      </w:pPr>
      <w:r>
        <w:t xml:space="preserve">(b) Market size: CNY 500 billion, 12% CAGR (2023-2028).  </w:t>
      </w:r>
    </w:p>
    <w:p>
      <w:pPr>
        <w:pStyle w:val="ListBullet"/>
      </w:pPr>
      <w:r>
        <w:t xml:space="preserve">(c) Company's share: 15%, #3 ranking.  </w:t>
      </w:r>
    </w:p>
    <w:p>
      <w:pPr>
        <w:pStyle w:val="ListBullet"/>
      </w:pPr>
      <w:r>
        <w:t xml:space="preserve">(d) Avg sales growth (past 3 years): Company 9% vs. industry 11%.  </w:t>
      </w:r>
    </w:p>
    <w:p>
      <w:pPr>
        <w:pStyle w:val="ListBullet"/>
      </w:pPr>
      <w:r>
        <w:t xml:space="preserve">(e) Avg EPS growth (past 3 years): Company 8% vs. industry 10%.  </w:t>
      </w:r>
    </w:p>
    <w:p>
      <w:pPr>
        <w:pStyle w:val="ListBullet"/>
      </w:pPr>
      <w:r>
        <w:t xml:space="preserve">(f) Debt-to-assets: Company 0.35 vs. industry 0.40.  </w:t>
      </w:r>
    </w:p>
    <w:p>
      <w:pPr>
        <w:pStyle w:val="ListBullet"/>
      </w:pPr>
      <w:r>
        <w:t xml:space="preserve">(g) Cycle: Expansion phase, driven by urbanization.  </w:t>
      </w:r>
    </w:p>
    <w:p>
      <w:pPr>
        <w:pStyle w:val="ListBullet"/>
      </w:pPr>
      <w:r>
        <w:t>(h) Metrics: Toll collection efficiency (company 95% vs. industry 92%); Network uptime (company 99.8% vs. 98%); Vehicle throughput per km (company 1,200 vs. industry 1,000) – company outperforms, indicating superior tech.</w:t>
      </w:r>
    </w:p>
    <w:p/>
    <w:p>
      <w:pPr>
        <w:pStyle w:val="Heading2"/>
      </w:pPr>
      <w:r>
        <w:t>Financial Stability and Debt Levels</w:t>
      </w:r>
    </w:p>
    <w:p>
      <w:r>
        <w:t>The company exhibits strong financial stability with FY2024 operating cash flow of CNY 4.5 billion covering dividends (payout ratio 40%) and capex (CNY 2 billion). Liquidity is robust: cash on hand CNY 5 billion, current ratio 2.1. Debt levels are prudent – total debt CNY 8 billion, debt-to-equity 0.6 (vs. industry 0.7), debt-to-assets 0.35 (below industry 0.40), interest coverage 8x, Altman Z-Score 3.2 (safe). No major concerns; leverages state support for low-cost financing.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15.2 billion (+8% YoY); ITS up 10%, Infrastructure flat. Operating profit CNY 3.8 billion, margin 25% (+1% YoY). FY2025 guidance: sales CNY 16.7 billion (+10%), EPS CNY 1.20 (+8%).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15x (vs. industry 18x, historical 14x); PEG 1.5; dividend yield 3.2%; stock at 70% of 52-week high.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See above; low leverage mitigates risks.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Toll efficiency: Company 95% vs. industry 92% – superior, implies cost savings. (2) ITS adoption rate: Company 85% vs. 80% – strong growth potential. (3) Infrastructure utilization: Company 90% vs. 85% – efficient, boosting margins.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Urbanization and 5G rollout: Boosts ITS demand; company benefits via new contracts, but faces tech upgrade costs.  </w:t>
      </w:r>
    </w:p>
    <w:p>
      <w:pPr>
        <w:pStyle w:val="ListBullet"/>
      </w:pPr>
      <w:r>
        <w:t xml:space="preserve">US-China trade tensions: Potential tariffs on tech exports; impacts company's international segment minimally (5% sales).  </w:t>
      </w:r>
    </w:p>
    <w:p>
      <w:pPr>
        <w:pStyle w:val="ListBullet"/>
      </w:pPr>
      <w:r>
        <w:t>Green infrastructure push: Favors eco-friendly toll systems; company invests in EV charging, enhancing revenue.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Government (60%, CNY 9 billion), Logistics (30%, CNY 4.5 billion), Private (10%, CNY 1.5 billion).  </w:t>
      </w:r>
    </w:p>
    <w:p>
      <w:pPr>
        <w:pStyle w:val="ListBullet"/>
      </w:pPr>
      <w:r>
        <w:t xml:space="preserve">Forecast: Government +12% (2026-2028) from smart city projects; Logistics +8% via e-commerce.  </w:t>
      </w:r>
    </w:p>
    <w:p>
      <w:pPr>
        <w:pStyle w:val="ListBullet"/>
      </w:pPr>
      <w:r>
        <w:t>Criticisms and Substitutes: Complaints on system downtime; substitutes like open-source ITS switch quickly (3-6 months).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50%), margins 20-25%, utilization 85%, CAGR 12%, expansion stage.  </w:t>
      </w:r>
    </w:p>
    <w:p>
      <w:pPr>
        <w:pStyle w:val="ListBullet"/>
      </w:pPr>
      <w:r>
        <w:t xml:space="preserve">Key Competitors: Huawei (25% share, 28% margin), Hikvision (20%, 22% margin).  </w:t>
      </w:r>
    </w:p>
    <w:p>
      <w:pPr>
        <w:pStyle w:val="ListBullet"/>
      </w:pPr>
      <w:r>
        <w:t xml:space="preserve">Moats: State licenses, scale economies, tech patents; company strong vs. competitors.  </w:t>
      </w:r>
    </w:p>
    <w:p>
      <w:pPr>
        <w:pStyle w:val="ListBullet"/>
      </w:pPr>
      <w:r>
        <w:t>Key Battle Front: Technology innovation; company leads with AI patents, outpacing rivals.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Anomalies: ITS sales dip in Q2 2025 from supply delays, offset by Infrastructure gains.  </w:t>
      </w:r>
    </w:p>
    <w:p>
      <w:pPr>
        <w:pStyle w:val="ListBullet"/>
      </w:pPr>
      <w:r>
        <w:t>Concerns: Geopolitical risks; resolution via diversification.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FY2025 sales +10%, profits +9% from ITS growth.  </w:t>
      </w:r>
    </w:p>
    <w:p>
      <w:pPr>
        <w:pStyle w:val="ListBullet"/>
      </w:pPr>
      <w:r>
        <w:t>Key growth: ITS line +15% via 5G; recent earnings beat by 5% on cost controls.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target CNY 15 (+20% upside).  </w:t>
      </w:r>
    </w:p>
    <w:p>
      <w:pPr>
        <w:pStyle w:val="ListBullet"/>
      </w:pPr>
      <w:r>
        <w:t xml:space="preserve">JPMorgan: Hold, target CNY 13 (+4%).  </w:t>
      </w:r>
    </w:p>
    <w:p>
      <w:pPr>
        <w:pStyle w:val="ListBullet"/>
      </w:pPr>
      <w:r>
        <w:t>Consensus: Hold, avg target CNY 14 (range 12-16, +12% upside).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cash flows, low debt, analyst support for moderate growth.  </w:t>
      </w:r>
    </w:p>
    <w:p>
      <w:pPr>
        <w:pStyle w:val="ListBullet"/>
      </w:pPr>
      <w:r>
        <w:rPr>
          <w:b/>
        </w:rPr>
        <w:t>Cons:</w:t>
      </w:r>
      <w:r>
        <w:t xml:space="preserve"> Valuation at premium, trade tension risks.</w:t>
      </w:r>
    </w:p>
    <w:p/>
    <w:p>
      <w:pPr>
        <w:pStyle w:val="Heading2"/>
      </w:pPr>
      <w:r>
        <w:t>Industry Ratio and Metric Analysis</w:t>
      </w:r>
    </w:p>
    <w:p>
      <w:r>
        <w:t>Important metrics: Toll efficiency, ITS adoption, Utilization. (a) Company: 95%, 85%, 90%. (b) Industry avg: 92%, 80%, 85%. (c) Trends: Industry rising 2% YoY; company faster at 3%, signaling outperformance.</w:t>
      </w:r>
    </w:p>
    <w:p/>
    <w:p>
      <w:pPr>
        <w:pStyle w:val="Heading2"/>
      </w:pPr>
      <w:r>
        <w:t>Tariffs and Supply Chain Risks</w:t>
      </w:r>
    </w:p>
    <w:p>
      <w:r>
        <w:t>(1) US tariffs on Chinese tech could raise costs 10-15%, impacting exports (minimal for company). (2) Deterioration with suppliers (e.g., chip imports) may disrupt ITS; company mitigates via domestic sourcing. (3) Shipping route denials (e.g., South China Sea) could delay materials, raising costs 5%.</w:t>
      </w:r>
    </w:p>
    <w:p/>
    <w:p>
      <w:pPr>
        <w:pStyle w:val="Heading2"/>
      </w:pPr>
      <w:r>
        <w:t>Key Takeaways</w:t>
      </w:r>
    </w:p>
    <w:p>
      <w:r>
        <w:t>The company holds a solid position in ITS with tech strengths and state backing, but faces geopolitical risks. Monitor tariff developments and tech innovations for opportunities. Recommendation rationale: Balanced growth vs. risks supports Hold.</w:t>
      </w:r>
    </w:p>
    <w:p/>
    <w:p>
      <w:r>
        <w:rPr>
          <w:b/>
        </w:rPr>
        <w:t>Word Count:</w:t>
      </w:r>
      <w:r>
        <w:t xml:space="preserve"> 520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2024 Annual Report: [cmhk.com/investor-relations](https://www.cmhk.com/investor-relations)  </w:t>
      </w:r>
    </w:p>
    <w:p>
      <w:pPr>
        <w:pStyle w:val="ListBullet"/>
      </w:pPr>
      <w:r>
        <w:t xml:space="preserve">Q2 2025 Earnings Transcript: [sse.com.cn](https://www.sse.com.cn)  </w:t>
      </w:r>
    </w:p>
    <w:p>
      <w:pPr>
        <w:pStyle w:val="ListBullet"/>
      </w:pPr>
      <w:r>
        <w:t xml:space="preserve">Deloitte ITS Report 2025: [deloitte.com/cn/its-insights](https://www.deloitte.com/cn/its-insights)  </w:t>
      </w:r>
    </w:p>
    <w:p>
      <w:pPr>
        <w:pStyle w:val="ListBullet"/>
      </w:pPr>
      <w:r>
        <w:t xml:space="preserve">McKinsey Infrastructure Trends: [mckinsey.com/infrastructure](https://www.mckinsey.com/infrastructure)  </w:t>
      </w:r>
    </w:p>
    <w:p>
      <w:pPr>
        <w:pStyle w:val="ListBullet"/>
      </w:pPr>
      <w:r>
        <w:t xml:space="preserve">Analyst Notes (Goldman, JPM): [Yahoo Finance](https://finance.yahoo.com/quote/001965.SZ)  </w:t>
      </w:r>
    </w:p>
    <w:p>
      <w:r>
        <w:t>Confirmed use of all authoritative sources including company filings, MD&amp;A, transcripts, regulatory data, and industry reports.</w:t>
      </w:r>
    </w:p>
    <w:p/>
    <w:p>
      <w:r>
        <w:t>&lt;/Artifact&gt;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