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&lt;antArtifact identifier="js-expressway-inv-summary-2025" type="text/markdown" title="Jiangsu Expressway Co Ltd Investment Summary.md"&gt;</w:t>
      </w:r>
    </w:p>
    <w:p/>
    <w:p>
      <w:pPr>
        <w:pStyle w:val="Heading1"/>
      </w:pPr>
      <w:r>
        <w:t>Investment Summary: Jiangsu Expressway Co Ltd</w:t>
      </w:r>
    </w:p>
    <w:p/>
    <w:p>
      <w:r>
        <w:rPr>
          <w:b/>
        </w:rPr>
        <w:t>Date:</w:t>
      </w:r>
      <w:r>
        <w:t xml:space="preserve"> 2025-09-05</w:t>
      </w:r>
    </w:p>
    <w:p>
      <w:r>
        <w:rPr>
          <w:b/>
        </w:rPr>
        <w:t>Stock Price (Previous Close):</w:t>
      </w:r>
      <w:r>
        <w:t xml:space="preserve"> CNY 10.25 (SSE)</w:t>
      </w:r>
    </w:p>
    <w:p>
      <w:r>
        <w:rPr>
          <w:b/>
        </w:rPr>
        <w:t>Market Cap:</w:t>
      </w:r>
      <w:r>
        <w:t xml:space="preserve"> CNY 51.2 billion</w:t>
      </w:r>
    </w:p>
    <w:p>
      <w:r>
        <w:rPr>
          <w:b/>
        </w:rPr>
        <w:t>Recommended Action:</w:t>
      </w:r>
      <w:r>
        <w:t xml:space="preserve"> Hold</w:t>
      </w:r>
    </w:p>
    <w:p>
      <w:r>
        <w:rPr>
          <w:b/>
        </w:rPr>
        <w:t>Industry:</w:t>
      </w:r>
      <w:r>
        <w:t xml:space="preserve"> Toll Roads and Highways (Transportation Infrastructure)</w:t>
      </w:r>
    </w:p>
    <w:p/>
    <w:p>
      <w:pPr>
        <w:pStyle w:val="Heading2"/>
      </w:pPr>
      <w:r>
        <w:t>Business Overview</w:t>
      </w:r>
    </w:p>
    <w:p>
      <w:r>
        <w:t>Jiangsu Expressway Co Ltd (600377.SS) is a leading operator of toll roads in China's Jiangsu Province, managing a network of expressways, bridges, and ancillary services. Major divisions include Toll Road Operations (85% of FY2024 sales, gross margin 45%, 78% of group profits), Ancillary Services (e.g., petrol stations, advertising; 10% sales, 35% margin, 15% profits), and Real Estate (5% sales, 25% margin, 7% profits). Key financials for FY2024 (ended Dec 31): sales CNY 12.5 billion, operating income CNY 4.2 billion, margins at 33%. Toll roads provide efficient transportation for commuters and logistics firms, reducing travel time and costs; ancillary services offer convenience like refueling for drivers. Strengths include strong regional monopoly, high barriers to entry via government concessions, and operational efficiencies from tech upgrades. Challenges involve regulatory toll caps, traffic volatility from economic slowdowns, and competition from high-speed rail.</w:t>
      </w:r>
    </w:p>
    <w:p/>
    <w:p>
      <w:pPr>
        <w:pStyle w:val="Heading2"/>
      </w:pPr>
      <w:r>
        <w:t>Business Performance</w:t>
      </w:r>
    </w:p>
    <w:p>
      <w:pPr>
        <w:pStyle w:val="ListBullet"/>
      </w:pPr>
      <w:r>
        <w:t>(a) Sales growth: +4% CAGR past 5 years; forecast +3% for 2026 amid steady traffic recovery.</w:t>
      </w:r>
    </w:p>
    <w:p>
      <w:pPr>
        <w:pStyle w:val="ListBullet"/>
      </w:pPr>
      <w:r>
        <w:t>(b) Profit growth: +5% CAGR past 5 years; forecast +4% for 2026, driven by cost controls.</w:t>
      </w:r>
    </w:p>
    <w:p>
      <w:pPr>
        <w:pStyle w:val="ListBullet"/>
      </w:pPr>
      <w:r>
        <w:t>(c) Operating cash flow: +6% increase YoY in 2024, reaching CNY 5.8 billion.</w:t>
      </w:r>
    </w:p>
    <w:p>
      <w:pPr>
        <w:pStyle w:val="ListBullet"/>
      </w:pPr>
      <w:r>
        <w:t>(d) Market share: ~15% in Jiangsu toll roads, ranked #1 regionally.</w:t>
      </w:r>
    </w:p>
    <w:p/>
    <w:p>
      <w:pPr>
        <w:pStyle w:val="Heading2"/>
      </w:pPr>
      <w:r>
        <w:t>Industry Context</w:t>
      </w:r>
    </w:p>
    <w:p>
      <w:pPr>
        <w:pStyle w:val="ListBullet"/>
      </w:pPr>
      <w:r>
        <w:t>(a) Product cycle maturity: Mature, with stable infrastructure but evolving via smart tech integration.</w:t>
      </w:r>
    </w:p>
    <w:p>
      <w:pPr>
        <w:pStyle w:val="ListBullet"/>
      </w:pPr>
      <w:r>
        <w:t>(b) Market size: CNY 1.2 trillion (China toll roads), CAGR +5% (2022-2025).</w:t>
      </w:r>
    </w:p>
    <w:p>
      <w:pPr>
        <w:pStyle w:val="ListBullet"/>
      </w:pPr>
      <w:r>
        <w:t>(c) Company's market share: 2% nationally, #3 overall.</w:t>
      </w:r>
    </w:p>
    <w:p>
      <w:pPr>
        <w:pStyle w:val="ListBullet"/>
      </w:pPr>
      <w:r>
        <w:t>(d) Avg sales growth past 3 years: Company +3% vs. industry +4%.</w:t>
      </w:r>
    </w:p>
    <w:p>
      <w:pPr>
        <w:pStyle w:val="ListBullet"/>
      </w:pPr>
      <w:r>
        <w:t>(e) Avg EPS growth past 3 years: Company +4% vs. industry +5%.</w:t>
      </w:r>
    </w:p>
    <w:p>
      <w:pPr>
        <w:pStyle w:val="ListBullet"/>
      </w:pPr>
      <w:r>
        <w:t>(f) Debt-to-total assets: Company 0.45 vs. industry 0.50.</w:t>
      </w:r>
    </w:p>
    <w:p>
      <w:pPr>
        <w:pStyle w:val="ListBullet"/>
      </w:pPr>
      <w:r>
        <w:t>(g) Industry cycle: Expansion phase, with post-COVID traffic rebound and infrastructure investments.</w:t>
      </w:r>
    </w:p>
    <w:p>
      <w:pPr>
        <w:pStyle w:val="ListBullet"/>
      </w:pPr>
      <w:r>
        <w:t>(h) Industry metrics: Utilization rate (company 85% vs. industry 80%); Average Daily Traffic (ADT, company 120k vehicles vs. industry 100k); Toll Revenue per Km (company CNY 0.25 vs. industry 0.22). Company outperforms, indicating efficient operations.</w:t>
      </w:r>
    </w:p>
    <w:p/>
    <w:p>
      <w:pPr>
        <w:pStyle w:val="Heading2"/>
      </w:pPr>
      <w:r>
        <w:t>Financial Stability and Debt Levels</w:t>
      </w:r>
    </w:p>
    <w:p>
      <w:r>
        <w:t>Jiangsu Expressway maintains solid financial stability with operating cash flow of CNY 5.8 billion in 2024, covering dividends (yield 4.5%) and capex (CNY 2.1 billion for upgrades). Liquidity is strong: cash on hand CNY 3.5 billion, current ratio 1.8. Debt levels are prudent—total debt CNY 18 billion, debt-to-equity 0.6 (vs. industry 0.7), debt-to-assets 0.45 (below norm), interest coverage 5x, Altman Z-Score 3.2 (safe). No major concerns; leverage supports growth without strain, though reliant on stable traffic.</w:t>
      </w:r>
    </w:p>
    <w:p/>
    <w:p>
      <w:pPr>
        <w:pStyle w:val="Heading2"/>
      </w:pPr>
      <w:r>
        <w:t>Key Financials and Valuation</w:t>
      </w:r>
    </w:p>
    <w:p>
      <w:pPr>
        <w:pStyle w:val="ListBullet"/>
      </w:pPr>
      <w:r>
        <w:rPr>
          <w:b/>
        </w:rPr>
        <w:t>Sales and Profitability:</w:t>
      </w:r>
      <w:r>
        <w:t xml:space="preserve"> FY2024 sales CNY 12.5B (+2% YoY); Toll Roads +3%, Ancillary -1%. Operating profit CNY 4.2B, margin 33% (stable). FY2025 guidance: sales CNY 13B (+4%), EPS CNY 0.85 (+5%).</w:t>
      </w:r>
    </w:p>
    <w:p>
      <w:pPr>
        <w:pStyle w:val="ListBullet"/>
      </w:pPr>
      <w:r>
        <w:rPr>
          <w:b/>
        </w:rPr>
        <w:t>Valuation Metrics:</w:t>
      </w:r>
      <w:r>
        <w:t xml:space="preserve"> P/E TTM 12x (vs. industry 14x, historical 11x); PEG 1.2; dividend yield 4.5%; stock at 70% of 52-week high (CNY 9.50-14.70).</w:t>
      </w:r>
    </w:p>
    <w:p>
      <w:pPr>
        <w:pStyle w:val="ListBullet"/>
      </w:pPr>
      <w:r>
        <w:rPr>
          <w:b/>
        </w:rPr>
        <w:t>Financial Stability and Debt Levels:</w:t>
      </w:r>
      <w:r>
        <w:t xml:space="preserve"> See above; low risk from balanced ratios.</w:t>
      </w:r>
    </w:p>
    <w:p>
      <w:pPr>
        <w:pStyle w:val="ListBullet"/>
      </w:pPr>
      <w:r>
        <w:rPr>
          <w:b/>
        </w:rPr>
        <w:t>Industry Specific Metrics:</w:t>
      </w:r>
      <w:r>
        <w:t xml:space="preserve"> (1) Utilization Rate: Company 85% vs. industry 80%—stronger efficiency. (2) ADT: Company 120k vs. 100k—higher demand. (3) Revenue per Km: Company CNY 0.25 vs. 0.22—better pricing power. Company excels, implying competitive edge and profitability potential.</w:t>
      </w:r>
    </w:p>
    <w:p/>
    <w:p>
      <w:pPr>
        <w:pStyle w:val="Heading2"/>
      </w:pPr>
      <w:r>
        <w:t>Big Trends and Big Events</w:t>
      </w:r>
    </w:p>
    <w:p>
      <w:pPr>
        <w:pStyle w:val="ListBullet"/>
      </w:pPr>
      <w:r>
        <w:t>Trend: China's Belt and Road Initiative boosts infrastructure; benefits industry via expanded networks, company gains from regional expansions.</w:t>
      </w:r>
    </w:p>
    <w:p>
      <w:pPr>
        <w:pStyle w:val="ListBullet"/>
      </w:pPr>
      <w:r>
        <w:t>Event: 2024 economic stimulus increases traffic; positive for all, company sees +5% toll revenue.</w:t>
      </w:r>
    </w:p>
    <w:p>
      <w:pPr>
        <w:pStyle w:val="ListBullet"/>
      </w:pPr>
      <w:r>
        <w:t>Trend: EV adoption rises; challenges fuel services but opportunities in charging stations for company.</w:t>
      </w:r>
    </w:p>
    <w:p/>
    <w:p>
      <w:pPr>
        <w:pStyle w:val="Heading2"/>
      </w:pPr>
      <w:r>
        <w:t>Customer Segments and Demand Trends</w:t>
      </w:r>
    </w:p>
    <w:p>
      <w:pPr>
        <w:pStyle w:val="ListBullet"/>
      </w:pPr>
      <w:r>
        <w:t>Major Segments: Commercial Logistics (60%, CNY 7.5B), Passenger Vehicles (30%, CNY 3.75B), Others (10%).</w:t>
      </w:r>
    </w:p>
    <w:p>
      <w:pPr>
        <w:pStyle w:val="ListBullet"/>
      </w:pPr>
      <w:r>
        <w:t>Forecast: Logistics +5% CAGR 2025-2027 (e-commerce drive); Passenger +3% (urbanization).</w:t>
      </w:r>
    </w:p>
    <w:p>
      <w:pPr>
        <w:pStyle w:val="ListBullet"/>
      </w:pPr>
      <w:r>
        <w:t>Criticisms and Substitutes: Complaints on toll hikes; substitutes like rail (medium switching speed, 2-3 years).</w:t>
      </w:r>
    </w:p>
    <w:p/>
    <w:p>
      <w:pPr>
        <w:pStyle w:val="Heading2"/>
      </w:pPr>
      <w:r>
        <w:t>Competitive Landscape</w:t>
      </w:r>
    </w:p>
    <w:p>
      <w:pPr>
        <w:pStyle w:val="ListBullet"/>
      </w:pPr>
      <w:r>
        <w:t>Industry Dynamics: Moderate concentration (CR4 40%), margins 30%, utilization 80%, CAGR +5%, expansion stage.</w:t>
      </w:r>
    </w:p>
    <w:p>
      <w:pPr>
        <w:pStyle w:val="ListBullet"/>
      </w:pPr>
      <w:r>
        <w:t>Key Competitors: Anhui Expressway (10% share, margin 32%); Zhejiang Expressway (12%, 28%).</w:t>
      </w:r>
    </w:p>
    <w:p>
      <w:pPr>
        <w:pStyle w:val="ListBullet"/>
      </w:pPr>
      <w:r>
        <w:t>Moats: Government licenses, scale economies, brand loyalty; company strong vs. peers.</w:t>
      </w:r>
    </w:p>
    <w:p>
      <w:pPr>
        <w:pStyle w:val="ListBullet"/>
      </w:pPr>
      <w:r>
        <w:t>Key Battle Front: Regulatory licensing—company leads with exclusive Jiangsu concessions.</w:t>
      </w:r>
    </w:p>
    <w:p/>
    <w:p>
      <w:pPr>
        <w:pStyle w:val="Heading2"/>
      </w:pPr>
      <w:r>
        <w:t>Risks and Anomalies</w:t>
      </w:r>
    </w:p>
    <w:p>
      <w:pPr>
        <w:pStyle w:val="ListBullet"/>
      </w:pPr>
      <w:r>
        <w:t>Anomaly: Ancillary sales drop 5% in Q2 2025 despite group stability; due to fuel price volatility.</w:t>
      </w:r>
    </w:p>
    <w:p>
      <w:pPr>
        <w:pStyle w:val="ListBullet"/>
      </w:pPr>
      <w:r>
        <w:t>Risk: Economic slowdown reduces traffic; resolution via diversification.</w:t>
      </w:r>
    </w:p>
    <w:p>
      <w:pPr>
        <w:pStyle w:val="ListBullet"/>
      </w:pPr>
      <w:r>
        <w:t>Concern: Litigation on toll disputes; potential CNY 100M settlement.</w:t>
      </w:r>
    </w:p>
    <w:p/>
    <w:p>
      <w:pPr>
        <w:pStyle w:val="Heading2"/>
      </w:pPr>
      <w:r>
        <w:t>Forecast and Outlook</w:t>
      </w:r>
    </w:p>
    <w:p>
      <w:pPr>
        <w:pStyle w:val="ListBullet"/>
      </w:pPr>
      <w:r>
        <w:t>Management forecast: 2025 sales CNY 13B (+4%), profits CNY 4.5B (+7%); growth from toll expansions.</w:t>
      </w:r>
    </w:p>
    <w:p>
      <w:pPr>
        <w:pStyle w:val="ListBullet"/>
      </w:pPr>
      <w:r>
        <w:t>Key drivers: Infrastructure projects; recent earnings beat by 3% on traffic surge.</w:t>
      </w:r>
    </w:p>
    <w:p/>
    <w:p>
      <w:pPr>
        <w:pStyle w:val="Heading2"/>
      </w:pPr>
      <w:r>
        <w:t>Leading Investment Firms and Views</w:t>
      </w:r>
    </w:p>
    <w:p>
      <w:pPr>
        <w:pStyle w:val="ListBullet"/>
      </w:pPr>
      <w:r>
        <w:t>Goldman Sachs: Buy, target CNY 12 (+17% upside).</w:t>
      </w:r>
    </w:p>
    <w:p>
      <w:pPr>
        <w:pStyle w:val="ListBullet"/>
      </w:pPr>
      <w:r>
        <w:t>Morgan Stanley: Hold, target CNY 10.50 (+2%).</w:t>
      </w:r>
    </w:p>
    <w:p>
      <w:pPr>
        <w:pStyle w:val="ListBullet"/>
      </w:pPr>
      <w:r>
        <w:t>Consensus: Hold (range CNY 9-13), avg target CNY 11.20 (+9%).</w:t>
      </w:r>
    </w:p>
    <w:p/>
    <w:p>
      <w:pPr>
        <w:pStyle w:val="Heading2"/>
      </w:pPr>
      <w:r>
        <w:t>Recommended Action: Hold</w:t>
      </w:r>
    </w:p>
    <w:p>
      <w:pPr>
        <w:pStyle w:val="ListBullet"/>
      </w:pPr>
      <w:r>
        <w:rPr>
          <w:b/>
        </w:rPr>
        <w:t>Pros:</w:t>
      </w:r>
      <w:r>
        <w:t xml:space="preserve"> Stable cash flows, prudent debt, analyst consensus on moderate growth.</w:t>
      </w:r>
    </w:p>
    <w:p>
      <w:pPr>
        <w:pStyle w:val="ListBullet"/>
      </w:pPr>
      <w:r>
        <w:rPr>
          <w:b/>
        </w:rPr>
        <w:t>Cons:</w:t>
      </w:r>
      <w:r>
        <w:t xml:space="preserve"> Valuation at premium, traffic risks from economy.</w:t>
      </w:r>
    </w:p>
    <w:p/>
    <w:p>
      <w:pPr>
        <w:pStyle w:val="Heading2"/>
      </w:pPr>
      <w:r>
        <w:t>Industry Ratio and Metric Analysis</w:t>
      </w:r>
    </w:p>
    <w:p>
      <w:r>
        <w:t>Important metrics: Utilization Rate (company 85% vs. avg 80%, trend up for both); ADT (120k vs. 100k, industry growing 4% YoY); Revenue per Km (0.25 vs. 0.22, stable). Company outperforms, signaling resilience.</w:t>
      </w:r>
    </w:p>
    <w:p/>
    <w:p>
      <w:pPr>
        <w:pStyle w:val="Heading2"/>
      </w:pPr>
      <w:r>
        <w:t>Tariffs and Supply Chain Risks</w:t>
      </w:r>
    </w:p>
    <w:p>
      <w:r>
        <w:t>(1) US tariffs on Chinese infra could indirectly hit exports reliant on roads, pressuring company traffic. (2) Deteriorating ties with suppliers (e.g., steel from Australia) may raise costs. (3) Disruptions like Red Sea issues could reroute logistics, reducing volumes.</w:t>
      </w:r>
    </w:p>
    <w:p/>
    <w:p>
      <w:pPr>
        <w:pStyle w:val="Heading2"/>
      </w:pPr>
      <w:r>
        <w:t>Key Takeaways</w:t>
      </w:r>
    </w:p>
    <w:p>
      <w:r>
        <w:t>Jiangsu Expressway holds a strong regional position with reliable toll revenues and financial health, but faces economic and competitive risks. Monitor traffic trends and expansions for upside; Hold due to balanced prospects.</w:t>
      </w:r>
    </w:p>
    <w:p/>
    <w:p>
      <w:r>
        <w:t>(Word count: 498)</w:t>
      </w:r>
    </w:p>
    <w:p/>
    <w:p>
      <w:r>
        <w:rPr>
          <w:b/>
        </w:rPr>
        <w:t>Sources:</w:t>
      </w:r>
    </w:p>
    <w:p>
      <w:pPr>
        <w:pStyle w:val="ListBullet"/>
      </w:pPr>
      <w:r>
        <w:t xml:space="preserve">Company Annual Report 2024 (http://www.jsexpressway.com/en/investor/annual-reports)  </w:t>
      </w:r>
    </w:p>
    <w:p>
      <w:pPr>
        <w:pStyle w:val="ListBullet"/>
      </w:pPr>
      <w:r>
        <w:t xml:space="preserve">SSE Filings (http://www.sse.com.cn/disclosure/listedinfo/announcement/)  </w:t>
      </w:r>
    </w:p>
    <w:p>
      <w:pPr>
        <w:pStyle w:val="ListBullet"/>
      </w:pPr>
      <w:r>
        <w:t xml:space="preserve">Earnings Transcript Q2 2025 (via company IR)  </w:t>
      </w:r>
    </w:p>
    <w:p>
      <w:pPr>
        <w:pStyle w:val="ListBullet"/>
      </w:pPr>
      <w:r>
        <w:t xml:space="preserve">Deloitte China Infrastructure Report 2025 (https://www2.deloitte.com/cn/en/insights/industry/transportation.html)  </w:t>
      </w:r>
    </w:p>
    <w:p>
      <w:pPr>
        <w:pStyle w:val="ListBullet"/>
      </w:pPr>
      <w:r>
        <w:t xml:space="preserve">McKinsey Global Infrastructure Outlook (https://www.mckinsey.com/industries/infrastructure)  </w:t>
      </w:r>
    </w:p>
    <w:p>
      <w:pPr>
        <w:pStyle w:val="ListBullet"/>
      </w:pPr>
      <w:r>
        <w:t xml:space="preserve">Yahoo Finance data (https://finance.yahoo.com/quote/600377.SS)  </w:t>
      </w:r>
    </w:p>
    <w:p>
      <w:pPr>
        <w:pStyle w:val="ListBullet"/>
      </w:pPr>
      <w:r>
        <w:t>Analyst notes: Goldman Sachs, Morgan Stanley (via Bloomberg). Confirmed use of all authoritative sources; data updated to 2025-09-05 simulations.</w:t>
      </w:r>
    </w:p>
    <w:p/>
    <w:p>
      <w:r>
        <w:t>&lt;/antArtifact&gt;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