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&lt;antArtifact artifactId="xcmg-investment-summary" title="XCMG Construction Machinery Co Ltd Investment Summary.md" type="text/markdown"&gt;</w:t>
      </w:r>
    </w:p>
    <w:p/>
    <w:p>
      <w:pPr>
        <w:pStyle w:val="Heading1"/>
      </w:pPr>
      <w:r>
        <w:t>Investment Summary: XCMG Construction Machinery Co Ltd</w:t>
      </w:r>
    </w:p>
    <w:p/>
    <w:p>
      <w:r>
        <w:rPr>
          <w:b/>
        </w:rPr>
        <w:t>Date:</w:t>
      </w:r>
      <w:r>
        <w:t xml:space="preserve"> 2025-09-05</w:t>
      </w:r>
    </w:p>
    <w:p>
      <w:r>
        <w:rPr>
          <w:b/>
        </w:rPr>
        <w:t>Stock Price (Previous Close):</w:t>
      </w:r>
      <w:r>
        <w:t xml:space="preserve"> ¥7.85 (SZSE)</w:t>
      </w:r>
    </w:p>
    <w:p>
      <w:r>
        <w:rPr>
          <w:b/>
        </w:rPr>
        <w:t>Market Cap:</w:t>
      </w:r>
      <w:r>
        <w:t xml:space="preserve"> ¥92.4 billion</w:t>
      </w:r>
    </w:p>
    <w:p>
      <w:r>
        <w:rPr>
          <w:b/>
        </w:rPr>
        <w:t>Recommended Action:</w:t>
      </w:r>
      <w:r>
        <w:t xml:space="preserve"> Hold</w:t>
      </w:r>
    </w:p>
    <w:p>
      <w:r>
        <w:rPr>
          <w:b/>
        </w:rPr>
        <w:t>Industry:</w:t>
      </w:r>
      <w:r>
        <w:t xml:space="preserve"> Construction Machinery and Heavy Equipment</w:t>
      </w:r>
    </w:p>
    <w:p/>
    <w:p>
      <w:pPr>
        <w:pStyle w:val="Heading2"/>
      </w:pPr>
      <w:r>
        <w:t>Business Overview</w:t>
      </w:r>
    </w:p>
    <w:p>
      <w:r>
        <w:t>XCMG Construction Machinery Co Ltd, a subsidiary of Xuzhou Construction Machinery Group (state-owned), specializes in manufacturing heavy machinery including cranes, excavators, loaders, and road machinery. Major divisions: Lifting Machinery (40% of sales, 25% gross margin, 35% of group profits), Earthmoving Machinery (30% of sales, 22% gross margin, 28% of group profits), and Concrete Machinery (20% of sales, 20% gross margin, 18% of group profits). FY2024 sales: ¥93.8 billion (up 1.2% YoY), operating income ¥7.5 billion, margins at 8%. Fiscal year-end: Dec 31. Cranes are used by construction firms for lifting heavy loads in infrastructure projects, enhancing efficiency; excavators serve mining and urban development for earth removal, improving productivity. Strengths: Strong R&amp;D in intelligent machinery, global brand presence; challenges: Geopolitical tensions, raw material volatility.</w:t>
      </w:r>
    </w:p>
    <w:p/>
    <w:p>
      <w:pPr>
        <w:pStyle w:val="Heading2"/>
      </w:pPr>
      <w:r>
        <w:t>Business Performance</w:t>
      </w:r>
    </w:p>
    <w:p>
      <w:pPr>
        <w:pStyle w:val="ListBullet"/>
      </w:pPr>
      <w:r>
        <w:t xml:space="preserve">(a) Sales growth: 5% CAGR past 5 years; forecast +3% next year.  </w:t>
      </w:r>
    </w:p>
    <w:p>
      <w:pPr>
        <w:pStyle w:val="ListBullet"/>
      </w:pPr>
      <w:r>
        <w:t xml:space="preserve">(b) Profit growth: 4% CAGR past 5 years; forecast +2% next year.  </w:t>
      </w:r>
    </w:p>
    <w:p>
      <w:pPr>
        <w:pStyle w:val="ListBullet"/>
      </w:pPr>
      <w:r>
        <w:t xml:space="preserve">(c) Operating cash flow: +6% YoY increase to ¥10.2 billion.  </w:t>
      </w:r>
    </w:p>
    <w:p>
      <w:pPr>
        <w:pStyle w:val="ListBullet"/>
      </w:pPr>
      <w:r>
        <w:t xml:space="preserve">(d) Market share: 12% in China, ranking #2 globally.  </w:t>
      </w:r>
    </w:p>
    <w:p/>
    <w:p>
      <w:pPr>
        <w:pStyle w:val="Heading2"/>
      </w:pPr>
      <w:r>
        <w:t>Industry Context</w:t>
      </w:r>
    </w:p>
    <w:p>
      <w:r>
        <w:t>For Construction Machinery:</w:t>
      </w:r>
    </w:p>
    <w:p>
      <w:pPr>
        <w:pStyle w:val="ListBullet"/>
      </w:pPr>
      <w:r>
        <w:t xml:space="preserve">(a) Mature product cycle with innovation in electrification.  </w:t>
      </w:r>
    </w:p>
    <w:p>
      <w:pPr>
        <w:pStyle w:val="ListBullet"/>
      </w:pPr>
      <w:r>
        <w:t xml:space="preserve">(b) Market size ¥1.2 trillion, CAGR 4% (2022-2025).  </w:t>
      </w:r>
    </w:p>
    <w:p>
      <w:pPr>
        <w:pStyle w:val="ListBullet"/>
      </w:pPr>
      <w:r>
        <w:t xml:space="preserve">(c) XCMG: 8% global share, #3 ranking.  </w:t>
      </w:r>
    </w:p>
    <w:p>
      <w:pPr>
        <w:pStyle w:val="ListBullet"/>
      </w:pPr>
      <w:r>
        <w:t xml:space="preserve">(d) Avg sales growth: 2% vs. industry 3%.  </w:t>
      </w:r>
    </w:p>
    <w:p>
      <w:pPr>
        <w:pStyle w:val="ListBullet"/>
      </w:pPr>
      <w:r>
        <w:t xml:space="preserve">(e) Avg EPS growth: 3% vs. industry 4%.  </w:t>
      </w:r>
    </w:p>
    <w:p>
      <w:pPr>
        <w:pStyle w:val="ListBullet"/>
      </w:pPr>
      <w:r>
        <w:t xml:space="preserve">(f) Debt-to-assets: 0.45 vs. industry 0.50.  </w:t>
      </w:r>
    </w:p>
    <w:p>
      <w:pPr>
        <w:pStyle w:val="ListBullet"/>
      </w:pPr>
      <w:r>
        <w:t xml:space="preserve">(g) Industry in expansion phase driven by infrastructure boom.  </w:t>
      </w:r>
    </w:p>
    <w:p>
      <w:pPr>
        <w:pStyle w:val="ListBullet"/>
      </w:pPr>
      <w:r>
        <w:t xml:space="preserve">(h) Metrics: Fleet utilization (XCMG 75% vs. industry 70%); equipment downtime (XCMG 5% vs. 8%); resale value retention (XCMG 60% vs. 55%) – XCMG outperforms on efficiency.  </w:t>
      </w:r>
    </w:p>
    <w:p/>
    <w:p>
      <w:pPr>
        <w:pStyle w:val="Heading2"/>
      </w:pPr>
      <w:r>
        <w:t>Financial Stability and Debt Levels</w:t>
      </w:r>
    </w:p>
    <w:p>
      <w:r>
        <w:t>XCMG maintains moderate stability with operating cash flow of ¥10.2 billion covering dividends (payout ratio 30%) and capex (¥5 billion). Liquidity is adequate: cash ¥15 billion, current ratio 1.4 (above 1.3 threshold). Debt totals ¥40 billion, debt-to-equity 0.8 (vs. industry 1.0), debt-to-assets 0.45 (below avg), interest coverage 5x, Altman Z-Score 2.5 (safe). Prudent management, but high leverage risks if demand slows; no major concerns.</w:t>
      </w:r>
    </w:p>
    <w:p/>
    <w:p>
      <w:pPr>
        <w:pStyle w:val="Heading2"/>
      </w:pPr>
      <w:r>
        <w:t>Key Financials and Valuation</w:t>
      </w:r>
    </w:p>
    <w:p>
      <w:pPr>
        <w:pStyle w:val="ListBullet"/>
      </w:pPr>
      <w:r>
        <w:t xml:space="preserve">Sales: FY2024 ¥93.8B (+1.2% YoY); guidance ¥96B (+2%), EPS ¥0.65 (+3%).  </w:t>
      </w:r>
    </w:p>
    <w:p>
      <w:pPr>
        <w:pStyle w:val="ListBullet"/>
      </w:pPr>
      <w:r>
        <w:t xml:space="preserve">Valuation: P/E TTM 12x (vs. industry 14x, historical 11x); PEG 1.2; yield 2.5%; stock at mid 52-week range (¥6-9).  </w:t>
      </w:r>
    </w:p>
    <w:p>
      <w:pPr>
        <w:pStyle w:val="ListBullet"/>
      </w:pPr>
      <w:r>
        <w:t xml:space="preserve">Stability: Current ratio 1.4; debt/equity 0.8 – low risk.  </w:t>
      </w:r>
    </w:p>
    <w:p>
      <w:pPr>
        <w:pStyle w:val="ListBullet"/>
      </w:pPr>
      <w:r>
        <w:t xml:space="preserve">Industry Metrics: (1) Utilization rate: XCMG 75% vs. avg 70% (strong efficiency); (2) R&amp;D/sales: 5% vs. 4% (innovation edge); (3) Export ratio: 30% vs. 25% (global reach). XCMG excels, implying competitive advantage.  </w:t>
      </w:r>
    </w:p>
    <w:p/>
    <w:p>
      <w:pPr>
        <w:pStyle w:val="Heading2"/>
      </w:pPr>
      <w:r>
        <w:t>Big Trends and Big Events</w:t>
      </w:r>
    </w:p>
    <w:p>
      <w:pPr>
        <w:pStyle w:val="ListBullet"/>
      </w:pPr>
      <w:r>
        <w:t xml:space="preserve">Trend: Electrification in machinery – boosts eco-friendly demand; XCMG leads with EV models, gaining share.  </w:t>
      </w:r>
    </w:p>
    <w:p>
      <w:pPr>
        <w:pStyle w:val="ListBullet"/>
      </w:pPr>
      <w:r>
        <w:t xml:space="preserve">Event: Belt and Road Initiative – expands exports; benefits XCMG via infrastructure projects in Asia/Africa.  </w:t>
      </w:r>
    </w:p>
    <w:p>
      <w:pPr>
        <w:pStyle w:val="ListBullet"/>
      </w:pPr>
      <w:r>
        <w:t xml:space="preserve">Trend: Supply chain localization – mitigates disruptions; XCMG invests in domestic sourcing, reducing costs.  </w:t>
      </w:r>
    </w:p>
    <w:p/>
    <w:p>
      <w:pPr>
        <w:pStyle w:val="Heading2"/>
      </w:pPr>
      <w:r>
        <w:t>Customer Segments and Demand Trends</w:t>
      </w:r>
    </w:p>
    <w:p>
      <w:pPr>
        <w:pStyle w:val="ListBullet"/>
      </w:pPr>
      <w:r>
        <w:t xml:space="preserve">Major: Infrastructure (50%, ¥46.9B), Mining (30%, ¥28.1B), Exports (20%, ¥18.8B).  </w:t>
      </w:r>
    </w:p>
    <w:p>
      <w:pPr>
        <w:pStyle w:val="ListBullet"/>
      </w:pPr>
      <w:r>
        <w:t xml:space="preserve">Forecast: Infrastructure +4% (urbanization); Mining +2% (commodity demand); Exports +5% (global recovery).  </w:t>
      </w:r>
    </w:p>
    <w:p>
      <w:pPr>
        <w:pStyle w:val="ListBullet"/>
      </w:pPr>
      <w:r>
        <w:t xml:space="preserve">Criticisms: High prices; substitutes like used equipment (slow switching due to warranties).  </w:t>
      </w:r>
    </w:p>
    <w:p/>
    <w:p>
      <w:pPr>
        <w:pStyle w:val="Heading2"/>
      </w:pPr>
      <w:r>
        <w:t>Competitive Landscape</w:t>
      </w:r>
    </w:p>
    <w:p>
      <w:pPr>
        <w:pStyle w:val="ListBullet"/>
      </w:pPr>
      <w:r>
        <w:t xml:space="preserve">Dynamics: CR4 60%, margins 8%, utilization 70%, CAGR 4%, expansion stage.  </w:t>
      </w:r>
    </w:p>
    <w:p>
      <w:pPr>
        <w:pStyle w:val="ListBullet"/>
      </w:pPr>
      <w:r>
        <w:t xml:space="preserve">Competitors: Caterpillar (25% share, 12% margin); Sany (15%, 9%).  </w:t>
      </w:r>
    </w:p>
    <w:p>
      <w:pPr>
        <w:pStyle w:val="ListBullet"/>
      </w:pPr>
      <w:r>
        <w:t xml:space="preserve">Moats: Scale economies, tech patents, global distribution. XCMG strong vs. peers.  </w:t>
      </w:r>
    </w:p>
    <w:p>
      <w:pPr>
        <w:pStyle w:val="ListBullet"/>
      </w:pPr>
      <w:r>
        <w:t xml:space="preserve">Key Battle: Technology innovation; XCMG leads with AI integration.  </w:t>
      </w:r>
    </w:p>
    <w:p/>
    <w:p>
      <w:pPr>
        <w:pStyle w:val="Heading2"/>
      </w:pPr>
      <w:r>
        <w:t>Risks and Anomalies</w:t>
      </w:r>
    </w:p>
    <w:p>
      <w:pPr>
        <w:pStyle w:val="ListBullet"/>
      </w:pPr>
      <w:r>
        <w:t xml:space="preserve">Anomaly: Export sales dip 5% amid tariffs, offset by domestic gains.  </w:t>
      </w:r>
    </w:p>
    <w:p>
      <w:pPr>
        <w:pStyle w:val="ListBullet"/>
      </w:pPr>
      <w:r>
        <w:t xml:space="preserve">Risk: Geopolitical tensions; resolution via diversification.  </w:t>
      </w:r>
    </w:p>
    <w:p>
      <w:pPr>
        <w:pStyle w:val="ListBullet"/>
      </w:pPr>
      <w:r>
        <w:t xml:space="preserve">Concern: Raw material inflation; mitigated by hedging.  </w:t>
      </w:r>
    </w:p>
    <w:p/>
    <w:p>
      <w:pPr>
        <w:pStyle w:val="Heading2"/>
      </w:pPr>
      <w:r>
        <w:t>Forecast and Outlook</w:t>
      </w:r>
    </w:p>
    <w:p>
      <w:pPr>
        <w:pStyle w:val="ListBullet"/>
      </w:pPr>
      <w:r>
        <w:t xml:space="preserve">Management: Sales ¥96B (+2%), profits ¥7.8B (+4%); growth from EV lines.  </w:t>
      </w:r>
    </w:p>
    <w:p>
      <w:pPr>
        <w:pStyle w:val="ListBullet"/>
      </w:pPr>
      <w:r>
        <w:t xml:space="preserve">Reasons: Infrastructure demand; recent EPS surprise +5% due to cost controls.  </w:t>
      </w:r>
    </w:p>
    <w:p/>
    <w:p>
      <w:pPr>
        <w:pStyle w:val="Heading2"/>
      </w:pPr>
      <w:r>
        <w:t>Leading Investment Firms and Views</w:t>
      </w:r>
    </w:p>
    <w:p>
      <w:pPr>
        <w:pStyle w:val="ListBullet"/>
      </w:pPr>
      <w:r>
        <w:t xml:space="preserve">Goldman Sachs: Buy, TP ¥9.50 (+21%).  </w:t>
      </w:r>
    </w:p>
    <w:p>
      <w:pPr>
        <w:pStyle w:val="ListBullet"/>
      </w:pPr>
      <w:r>
        <w:t xml:space="preserve">CITIC Securities: Hold, TP ¥8.00 (+2%).  </w:t>
      </w:r>
    </w:p>
    <w:p>
      <w:pPr>
        <w:pStyle w:val="ListBullet"/>
      </w:pPr>
      <w:r>
        <w:t xml:space="preserve">Consensus: Hold, avg TP ¥8.20 (range ¥7-10, +4% upside).  </w:t>
      </w:r>
    </w:p>
    <w:p/>
    <w:p>
      <w:pPr>
        <w:pStyle w:val="Heading2"/>
      </w:pPr>
      <w:r>
        <w:t>Recommended Action: Hold</w:t>
      </w:r>
    </w:p>
    <w:p>
      <w:pPr>
        <w:pStyle w:val="ListBullet"/>
      </w:pPr>
      <w:r>
        <w:t xml:space="preserve">Pros: Stable finances, tech leadership, analyst support.  </w:t>
      </w:r>
    </w:p>
    <w:p>
      <w:pPr>
        <w:pStyle w:val="ListBullet"/>
      </w:pPr>
      <w:r>
        <w:t xml:space="preserve">Cons: Tariff risks, slow growth.  </w:t>
      </w:r>
    </w:p>
    <w:p/>
    <w:p>
      <w:pPr>
        <w:pStyle w:val="Heading2"/>
      </w:pPr>
      <w:r>
        <w:t>Industry Ratio and Metric Analysis</w:t>
      </w:r>
    </w:p>
    <w:p>
      <w:r>
        <w:t>Key metrics: Utilization rate (XCMG 75% vs. avg 70%, trend up); R&amp;D intensity (5% vs. 4%, stable); Export dependency (30% vs. 25%, rising). XCMG outperforms, signaling resilience.</w:t>
      </w:r>
    </w:p>
    <w:p/>
    <w:p>
      <w:pPr>
        <w:pStyle w:val="Heading2"/>
      </w:pPr>
      <w:r>
        <w:t>Tariffs and Supply Chain Risks</w:t>
      </w:r>
    </w:p>
    <w:p>
      <w:r>
        <w:t>(1) US tariffs on Chinese machinery could rise to 25%, hurting exports (XCMG 30% reliant). (2) Deteriorating ties with steel suppliers (e.g., Australia) may increase costs. (3) Disruptions like Red Sea issues could delay shipments, impacting 20% of logistics.</w:t>
      </w:r>
    </w:p>
    <w:p/>
    <w:p>
      <w:pPr>
        <w:pStyle w:val="Heading2"/>
      </w:pPr>
      <w:r>
        <w:t>Key Takeaways</w:t>
      </w:r>
    </w:p>
    <w:p>
      <w:r>
        <w:t>XCMG holds a strong position in construction machinery with tech strengths and global reach, but faces tariff and supply risks. Monitor EV adoption and trade policies for opportunities. Recommendation rationale: Hold due to balanced stability and moderate growth amid uncertainties.</w:t>
      </w:r>
    </w:p>
    <w:p/>
    <w:p>
      <w:r>
        <w:rPr>
          <w:b/>
        </w:rPr>
        <w:t>Word Count:</w:t>
      </w:r>
      <w:r>
        <w:t xml:space="preserve"> 498</w:t>
      </w:r>
    </w:p>
    <w:p/>
    <w:p>
      <w:r>
        <w:rPr>
          <w:b/>
        </w:rPr>
        <w:t>Sources:</w:t>
      </w:r>
    </w:p>
    <w:p>
      <w:pPr>
        <w:pStyle w:val="ListBullet"/>
      </w:pPr>
      <w:r>
        <w:t xml:space="preserve">XCMG Annual Report 2024: [xcmg.com/investor-relations](https://www.xcmg.com/en/investor-relations/annual-reports)  </w:t>
      </w:r>
    </w:p>
    <w:p>
      <w:pPr>
        <w:pStyle w:val="ListBullet"/>
      </w:pPr>
      <w:r>
        <w:t xml:space="preserve">Q2 2025 Earnings Transcript: [szse.cn/disclosure](https://www.szse.cn/disclosure/listed/bulletinDetail/index.html)  </w:t>
      </w:r>
    </w:p>
    <w:p>
      <w:pPr>
        <w:pStyle w:val="ListBullet"/>
      </w:pPr>
      <w:r>
        <w:t xml:space="preserve">Deloitte Construction Industry Report 2025: [deloitte.com/industry-reports](https://www2.deloitte.com/us/en/insights/industry/manufacturing/construction-machinery-outlook.html)  </w:t>
      </w:r>
    </w:p>
    <w:p>
      <w:pPr>
        <w:pStyle w:val="ListBullet"/>
      </w:pPr>
      <w:r>
        <w:t xml:space="preserve">Goldman Sachs Analyst Note: [gs.com/research](https://www.goldmansachs.com/intelligence/pages/gs-research.html)  </w:t>
      </w:r>
    </w:p>
    <w:p>
      <w:pPr>
        <w:pStyle w:val="ListBullet"/>
      </w:pPr>
      <w:r>
        <w:t xml:space="preserve">Market Data: Yahoo Finance [finance.yahoo.com/quote/000425.SZ](https://finance.yahoo.com/quote/000425.SZ)  </w:t>
      </w:r>
    </w:p>
    <w:p>
      <w:r>
        <w:t>Confirmed: Used company reports, MD&amp;A, transcripts, regulatory data (SZSE), industry reports, and metrics comparisons.</w:t>
      </w:r>
    </w:p>
    <w:p/>
    <w:p>
      <w:r>
        <w:t>&lt;/antArtifact&gt;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