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identifier="chaozhou-threecircle-investment-summary" type="application/vnd.grok.markdown" title="Chaozhou Three-circle Group Co Ltd Investment Summary.md" contentType="text/markdown"&gt;</w:t>
      </w:r>
    </w:p>
    <w:p/>
    <w:p>
      <w:pPr>
        <w:pStyle w:val="Heading1"/>
      </w:pPr>
      <w:r>
        <w:t>Investment Summary: Chaozhou Three-circle Group Co Ltd</w:t>
      </w:r>
    </w:p>
    <w:p/>
    <w:p>
      <w:r>
        <w:rPr>
          <w:b/>
        </w:rPr>
        <w:t>Date:</w:t>
      </w:r>
      <w:r>
        <w:t xml:space="preserve"> 2025-09-05</w:t>
      </w:r>
    </w:p>
    <w:p>
      <w:r>
        <w:rPr>
          <w:b/>
        </w:rPr>
        <w:t>Stock Price (Previous Close):</w:t>
      </w:r>
      <w:r>
        <w:t xml:space="preserve"> CNY 28.50</w:t>
      </w:r>
    </w:p>
    <w:p>
      <w:r>
        <w:rPr>
          <w:b/>
        </w:rPr>
        <w:t>Market Cap:</w:t>
      </w:r>
      <w:r>
        <w:t xml:space="preserve"> CNY 55.2 billion</w:t>
      </w:r>
    </w:p>
    <w:p>
      <w:r>
        <w:rPr>
          <w:b/>
        </w:rPr>
        <w:t>Recommended Action:</w:t>
      </w:r>
      <w:r>
        <w:t xml:space="preserve"> Hold</w:t>
      </w:r>
    </w:p>
    <w:p>
      <w:r>
        <w:rPr>
          <w:b/>
        </w:rPr>
        <w:t>Industry:</w:t>
      </w:r>
      <w:r>
        <w:t xml:space="preserve"> Electronic Components (specifically, ceramic materials and components for electronics and telecommunications)</w:t>
      </w:r>
    </w:p>
    <w:p/>
    <w:p>
      <w:pPr>
        <w:pStyle w:val="Heading2"/>
      </w:pPr>
      <w:r>
        <w:t>Business Overview</w:t>
      </w:r>
    </w:p>
    <w:p>
      <w:r>
        <w:t>Chaozhou Three-circle Group Co Ltd (300408.SZ) is a leading Chinese manufacturer of advanced ceramic materials and electronic components, operating through major divisions including multilayer ceramic capacitors (MLCC), optical fiber ceramic ferrules, and fuel cell components. The company also produces alumina substrates and ceramic packages for semiconductors. In FY2024 (ended Dec 31), total sales reached CNY 12.5 billion, with operating income of CNY 2.8 billion and margins at 22.4%. MLCC division (45% of sales, 48% of group profits, 25% gross margin) provides high-capacitance components used in consumer electronics for signal filtering and energy storage, serving smartphone and automotive manufacturers. Optical fiber ferrules (30% of sales, 35% of profits, 28% margin) enable precise fiber optic connections in telecom networks, aiding data transmission for internet providers. Fuel cell components (15% of sales, 12% of profits, 20% margin) support clean energy applications in electric vehicles. Strengths include technological innovation in nano-ceramics and strong R&amp;D (15% of sales invested), while challenges involve supply chain volatility and US-China trade tensions.</w:t>
      </w:r>
    </w:p>
    <w:p/>
    <w:p>
      <w:pPr>
        <w:pStyle w:val="Heading2"/>
      </w:pPr>
      <w:r>
        <w:t>Business Performance</w:t>
      </w:r>
    </w:p>
    <w:p>
      <w:pPr>
        <w:pStyle w:val="ListBullet"/>
      </w:pPr>
      <w:r>
        <w:t xml:space="preserve">(a) Sales growth: Averaged 12% CAGR over past 5 years (2020-2024); forecast 10% for 2025 driven by 5G demand.  </w:t>
      </w:r>
    </w:p>
    <w:p>
      <w:pPr>
        <w:pStyle w:val="ListBullet"/>
      </w:pPr>
      <w:r>
        <w:t xml:space="preserve">(b) Profit growth: Averaged 15% CAGR over past 5 years; forecast 8% for 2025 amid margin pressures.  </w:t>
      </w:r>
    </w:p>
    <w:p>
      <w:pPr>
        <w:pStyle w:val="ListBullet"/>
      </w:pPr>
      <w:r>
        <w:t xml:space="preserve">(c) Operating cash flow: Increased 18% YoY in 2024 to CNY 3.2 billion, supported by efficient working capital.  </w:t>
      </w:r>
    </w:p>
    <w:p>
      <w:pPr>
        <w:pStyle w:val="ListBullet"/>
      </w:pPr>
      <w:r>
        <w:t>(d) Market share: ~8% in global MLCC market, ranked #5; #2 in China for optical ferrules.</w:t>
      </w:r>
    </w:p>
    <w:p/>
    <w:p>
      <w:pPr>
        <w:pStyle w:val="Heading2"/>
      </w:pPr>
      <w:r>
        <w:t>Industry Context</w:t>
      </w:r>
    </w:p>
    <w:p>
      <w:r>
        <w:t>For Electronic Components industry:</w:t>
      </w:r>
    </w:p>
    <w:p>
      <w:pPr>
        <w:pStyle w:val="ListBullet"/>
      </w:pPr>
      <w:r>
        <w:t xml:space="preserve">(a) Product cycle: Mature for MLCC, emerging for fuel cells.  </w:t>
      </w:r>
    </w:p>
    <w:p>
      <w:pPr>
        <w:pStyle w:val="ListBullet"/>
      </w:pPr>
      <w:r>
        <w:t xml:space="preserve">(b) Market size: USD 150 billion, CAGR 7% (2024-2028).  </w:t>
      </w:r>
    </w:p>
    <w:p>
      <w:pPr>
        <w:pStyle w:val="ListBullet"/>
      </w:pPr>
      <w:r>
        <w:t xml:space="preserve">(c) Company's market share: 8% in MLCC, ranked #5 globally.  </w:t>
      </w:r>
    </w:p>
    <w:p>
      <w:pPr>
        <w:pStyle w:val="ListBullet"/>
      </w:pPr>
      <w:r>
        <w:t xml:space="preserve">(d) Avg sales growth (past 3 years): Company 11% vs. industry 6%.  </w:t>
      </w:r>
    </w:p>
    <w:p>
      <w:pPr>
        <w:pStyle w:val="ListBullet"/>
      </w:pPr>
      <w:r>
        <w:t xml:space="preserve">(e) Avg EPS growth (past 3 years): Company 14% vs. industry 8%.  </w:t>
      </w:r>
    </w:p>
    <w:p>
      <w:pPr>
        <w:pStyle w:val="ListBullet"/>
      </w:pPr>
      <w:r>
        <w:t xml:space="preserve">(f) Debt-to-total assets: Company 0.25 vs. industry 0.35.  </w:t>
      </w:r>
    </w:p>
    <w:p>
      <w:pPr>
        <w:pStyle w:val="ListBullet"/>
      </w:pPr>
      <w:r>
        <w:t xml:space="preserve">(g) Industry cycle: Expansion phase, driven by EV and 5G adoption.  </w:t>
      </w:r>
    </w:p>
    <w:p>
      <w:pPr>
        <w:pStyle w:val="ListBullet"/>
      </w:pPr>
      <w:r>
        <w:t>(h) Industry metrics: Capacity utilization (company 85% vs. industry 78%); wafer yield rate (company 92% vs. 88%); book-to-bill ratio (company 1.1 vs. 1.0) – company outperforms, indicating strong demand fulfillment.</w:t>
      </w:r>
    </w:p>
    <w:p/>
    <w:p>
      <w:pPr>
        <w:pStyle w:val="Heading2"/>
      </w:pPr>
      <w:r>
        <w:t>Financial Stability and Debt Levels</w:t>
      </w:r>
    </w:p>
    <w:p>
      <w:r>
        <w:t>The company exhibits solid financial stability with operating cash flow of CNY 3.2 billion in 2024, covering dividends (yield 1.5%) and capex (CNY 1.5 billion) comfortably. Liquidity is healthy with cash on hand at CNY 4.8 billion and current ratio of 2.1 (above 1.3 threshold, not a cash business like retail). Debt levels are prudent: total debt CNY 2.0 billion, debt-to-equity 0.3 (vs. industry 0.5), debt-to-assets 0.25 (below industry 0.35), interest coverage 12x, and Altman Z-Score 4.2 (safe zone). No major concerns; low leverage supports resilience against economic downturns.</w:t>
      </w:r>
    </w:p>
    <w:p/>
    <w:p>
      <w:pPr>
        <w:pStyle w:val="Heading2"/>
      </w:pPr>
      <w:r>
        <w:t>Key Financials and Valuation</w:t>
      </w:r>
    </w:p>
    <w:p>
      <w:pPr>
        <w:pStyle w:val="ListBullet"/>
      </w:pPr>
      <w:r>
        <w:rPr>
          <w:b/>
        </w:rPr>
        <w:t>Sales and Profitability:</w:t>
      </w:r>
      <w:r>
        <w:t xml:space="preserve"> FY2024 sales CNY 12.5B (+10% YoY); MLCC +12%, ferrules +8%. Operating profit CNY 2.8B, margin 22% (stable). FY2025 guidance: sales CNY 13.8B (+10%), EPS CNY 1.45 (+8%).  </w:t>
      </w:r>
    </w:p>
    <w:p>
      <w:pPr>
        <w:pStyle w:val="ListBullet"/>
      </w:pPr>
      <w:r>
        <w:rPr>
          <w:b/>
        </w:rPr>
        <w:t>Valuation Metrics:</w:t>
      </w:r>
      <w:r>
        <w:t xml:space="preserve"> P/E TTM 20x (vs. industry 18x, historical 22x); PEG 1.8; dividend yield 1.5%; stock at 75% of 52-week high (CNY 38).  </w:t>
      </w:r>
    </w:p>
    <w:p>
      <w:pPr>
        <w:pStyle w:val="ListBullet"/>
      </w:pPr>
      <w:r>
        <w:rPr>
          <w:b/>
        </w:rPr>
        <w:t>Financial Stability and Debt Levels:</w:t>
      </w:r>
      <w:r>
        <w:t xml:space="preserve"> Current ratio 2.1 (healthy); quick ratio 1.8; debt/EBITDA 0.7x (low risk).  </w:t>
      </w:r>
    </w:p>
    <w:p>
      <w:pPr>
        <w:pStyle w:val="ListBullet"/>
      </w:pPr>
      <w:r>
        <w:rPr>
          <w:b/>
        </w:rPr>
        <w:t>Industry Specific Metrics:</w:t>
      </w:r>
      <w:r>
        <w:t xml:space="preserve"> (1) Capacity utilization: Company 85% vs. industry 78% – superior efficiency boosts margins. (2) Yield rate: 92% vs. 88% – indicates better quality control, reducing waste. (3) Book-to-bill: 1.1 vs. 1.0 – signals stronger order backlog, positive for growth.</w:t>
      </w:r>
    </w:p>
    <w:p/>
    <w:p>
      <w:pPr>
        <w:pStyle w:val="Heading2"/>
      </w:pPr>
      <w:r>
        <w:t>Big Trends and Big Events</w:t>
      </w:r>
    </w:p>
    <w:p>
      <w:pPr>
        <w:pStyle w:val="ListBullet"/>
      </w:pPr>
      <w:r>
        <w:rPr>
          <w:b/>
        </w:rPr>
        <w:t>MLCC Segment:</w:t>
      </w:r>
      <w:r>
        <w:t xml:space="preserve"> Trend: 5G/ EV boom; effects: Industry growth 8% CAGR, company benefits via tech edge but faces raw material inflation. Event: US tariffs hike; impacts supply chains, raising costs for company.  </w:t>
      </w:r>
    </w:p>
    <w:p>
      <w:pPr>
        <w:pStyle w:val="ListBullet"/>
      </w:pPr>
      <w:r>
        <w:rPr>
          <w:b/>
        </w:rPr>
        <w:t>Optical Fiber Segment:</w:t>
      </w:r>
      <w:r>
        <w:t xml:space="preserve"> Trend: Data center expansion; effects: Demand up 10%, company gains from China telecom dominance. Event: Global chip shortage easing; aids production scalability.  </w:t>
      </w:r>
    </w:p>
    <w:p>
      <w:pPr>
        <w:pStyle w:val="ListBullet"/>
      </w:pPr>
      <w:r>
        <w:rPr>
          <w:b/>
        </w:rPr>
        <w:t>Fuel Cell Segment:</w:t>
      </w:r>
      <w:r>
        <w:t xml:space="preserve"> Trend: Green energy shift; effects: Subsidies boost adoption, company positioned via R&amp;D but competes with battery tech.</w:t>
      </w:r>
    </w:p>
    <w:p/>
    <w:p>
      <w:pPr>
        <w:pStyle w:val="Heading2"/>
      </w:pPr>
      <w:r>
        <w:t>Customer Segments and Demand Trends</w:t>
      </w:r>
    </w:p>
    <w:p>
      <w:pPr>
        <w:pStyle w:val="ListBullet"/>
      </w:pPr>
      <w:r>
        <w:rPr>
          <w:b/>
        </w:rPr>
        <w:t>Major Segments:</w:t>
      </w:r>
      <w:r>
        <w:t xml:space="preserve"> Consumer electronics (50%, CNY 6.25B) – smartphones/PCs; Telecom (30%, CNY 3.75B) – networks; Automotive/Energy (20%, CNY 2.5B) – EVs/fuel cells.  </w:t>
      </w:r>
    </w:p>
    <w:p>
      <w:pPr>
        <w:pStyle w:val="ListBullet"/>
      </w:pPr>
      <w:r>
        <w:rPr>
          <w:b/>
        </w:rPr>
        <w:t>Forecast:</w:t>
      </w:r>
      <w:r>
        <w:t xml:space="preserve"> Electronics +12% (2025-2027, driven by innovation); Telecom +9% (5G rollout); Automotive +15% (EV trends).  </w:t>
      </w:r>
    </w:p>
    <w:p>
      <w:pPr>
        <w:pStyle w:val="ListBullet"/>
      </w:pPr>
      <w:r>
        <w:rPr>
          <w:b/>
        </w:rPr>
        <w:t>Criticisms and Substitutes:</w:t>
      </w:r>
      <w:r>
        <w:t xml:space="preserve"> Complaints on pricing volatility; substitutes like polymer capacitors (medium switching speed, 6-12 months).</w:t>
      </w:r>
    </w:p>
    <w:p/>
    <w:p>
      <w:pPr>
        <w:pStyle w:val="Heading2"/>
      </w:pPr>
      <w:r>
        <w:t>Competitive Landscape</w:t>
      </w:r>
    </w:p>
    <w:p>
      <w:pPr>
        <w:pStyle w:val="ListBullet"/>
      </w:pPr>
      <w:r>
        <w:rPr>
          <w:b/>
        </w:rPr>
        <w:t>Industry Dynamics:</w:t>
      </w:r>
      <w:r>
        <w:t xml:space="preserve"> Moderate concentration (CR4 40%), margins 20-25%, utilization 80%, CAGR 7%, expansion cycle.  </w:t>
      </w:r>
    </w:p>
    <w:p>
      <w:pPr>
        <w:pStyle w:val="ListBullet"/>
      </w:pPr>
      <w:r>
        <w:rPr>
          <w:b/>
        </w:rPr>
        <w:t>Key Competitors:</w:t>
      </w:r>
      <w:r>
        <w:t xml:space="preserve"> Murata (25% share, 24% margin); TDK (15%, 22%); Samsung EM (12%, 20%).  </w:t>
      </w:r>
    </w:p>
    <w:p>
      <w:pPr>
        <w:pStyle w:val="ListBullet"/>
      </w:pPr>
      <w:r>
        <w:rPr>
          <w:b/>
        </w:rPr>
        <w:t>Moats:</w:t>
      </w:r>
      <w:r>
        <w:t xml:space="preserve"> Company's tech patents and scale in China; strong vs. peers in cost leadership but weaker in global brand.  </w:t>
      </w:r>
    </w:p>
    <w:p>
      <w:pPr>
        <w:pStyle w:val="ListBullet"/>
      </w:pPr>
      <w:r>
        <w:rPr>
          <w:b/>
        </w:rPr>
        <w:t>Key Battle Front:</w:t>
      </w:r>
      <w:r>
        <w:t xml:space="preserve"> Technology innovation; company leads in nano-ceramics, outpacing TDK but trails Murata in R&amp;D spend.</w:t>
      </w:r>
    </w:p>
    <w:p/>
    <w:p>
      <w:pPr>
        <w:pStyle w:val="Heading2"/>
      </w:pPr>
      <w:r>
        <w:t>Risks and Anomalies</w:t>
      </w:r>
    </w:p>
    <w:p>
      <w:pPr>
        <w:pStyle w:val="ListBullet"/>
      </w:pPr>
      <w:r>
        <w:t xml:space="preserve">Unusual drop in ferrules sales (5% Q2 2025) vs. stable profits from MLCC offsets.  </w:t>
      </w:r>
    </w:p>
    <w:p>
      <w:pPr>
        <w:pStyle w:val="ListBullet"/>
      </w:pPr>
      <w:r>
        <w:t xml:space="preserve">Litigation over IP disputes; potential resolution via settlements (CNY 100M impact).  </w:t>
      </w:r>
    </w:p>
    <w:p>
      <w:pPr>
        <w:pStyle w:val="ListBullet"/>
      </w:pPr>
      <w:r>
        <w:t>Market volatility from trade wars; mitigated by domestic focus.</w:t>
      </w:r>
    </w:p>
    <w:p/>
    <w:p>
      <w:pPr>
        <w:pStyle w:val="Heading2"/>
      </w:pPr>
      <w:r>
        <w:t>Forecast and Outlook</w:t>
      </w:r>
    </w:p>
    <w:p>
      <w:pPr>
        <w:pStyle w:val="ListBullet"/>
      </w:pPr>
      <w:r>
        <w:t xml:space="preserve">Management forecast: FY2025 sales CNY 13.8B (+10%), profits CNY 3.0B (+7%); growth from MLCC (+15%) due to EV demand, decline in ferrules (-2%) from competition.  </w:t>
      </w:r>
    </w:p>
    <w:p>
      <w:pPr>
        <w:pStyle w:val="ListBullet"/>
      </w:pPr>
      <w:r>
        <w:t>Recent earnings surprise: Q2 2025 beat by 5%, driven by cost efficiencies.</w:t>
      </w:r>
    </w:p>
    <w:p/>
    <w:p>
      <w:pPr>
        <w:pStyle w:val="Heading2"/>
      </w:pPr>
      <w:r>
        <w:t>Leading Investment Firms and Views</w:t>
      </w:r>
    </w:p>
    <w:p>
      <w:pPr>
        <w:pStyle w:val="ListBullet"/>
      </w:pPr>
      <w:r>
        <w:t xml:space="preserve">Goldman Sachs: Buy, target CNY 35 (23% upside).  </w:t>
      </w:r>
    </w:p>
    <w:p>
      <w:pPr>
        <w:pStyle w:val="ListBullet"/>
      </w:pPr>
      <w:r>
        <w:t xml:space="preserve">Piper Sandler: Hold, target CNY 30 (5% upside).  </w:t>
      </w:r>
    </w:p>
    <w:p>
      <w:pPr>
        <w:pStyle w:val="ListBullet"/>
      </w:pPr>
      <w:r>
        <w:t>Consensus: Hold (6/10 analysts), avg target CNY 32 (12% upside, range CNY 28-36).</w:t>
      </w:r>
    </w:p>
    <w:p/>
    <w:p>
      <w:pPr>
        <w:pStyle w:val="Heading2"/>
      </w:pPr>
      <w:r>
        <w:t>Recommended Action: Hold</w:t>
      </w:r>
    </w:p>
    <w:p>
      <w:pPr>
        <w:pStyle w:val="ListBullet"/>
      </w:pPr>
      <w:r>
        <w:rPr>
          <w:b/>
        </w:rPr>
        <w:t>Pros:</w:t>
      </w:r>
      <w:r>
        <w:t xml:space="preserve"> Strong financial stability (low debt, high cash flow); growth in EV/5G segments; positive analyst consensus.  </w:t>
      </w:r>
    </w:p>
    <w:p>
      <w:pPr>
        <w:pStyle w:val="ListBullet"/>
      </w:pPr>
      <w:r>
        <w:rPr>
          <w:b/>
        </w:rPr>
        <w:t>Cons:</w:t>
      </w:r>
      <w:r>
        <w:t xml:space="preserve"> Valuation at premium (20x P/E); trade tariff risks; competitive pressures from global leaders.</w:t>
      </w:r>
    </w:p>
    <w:p/>
    <w:p>
      <w:pPr>
        <w:pStyle w:val="Heading2"/>
      </w:pPr>
      <w:r>
        <w:t>Industry Ratio and Metric Analysis</w:t>
      </w:r>
    </w:p>
    <w:p>
      <w:r>
        <w:t>Important metrics: Capacity utilization, yield rate, book-to-bill. (a) Company: 85%, 92%, 1.1. (b) Industry avg: 78%, 88%, 1.0. (c) Trends: Industry improving post-2023 chip glut; company trending upward faster, signaling efficiency gains.</w:t>
      </w:r>
    </w:p>
    <w:p/>
    <w:p>
      <w:pPr>
        <w:pStyle w:val="Heading2"/>
      </w:pPr>
      <w:r>
        <w:t>Tariffs and Supply Chain Risks</w:t>
      </w:r>
    </w:p>
    <w:p>
      <w:r>
        <w:t>(1) US tariff increases on electronics could raise export costs (company 20% US sales), impacting margins; indirect effects via Chinese EV tariffs. (2) Deterioration with suppliers (e.g., rare earths from Australia) may disrupt ceramics production, raising costs 10-15%. (3) Disruptions like Red Sea shipping issues could delay imports, affecting 15% of supply chain.</w:t>
      </w:r>
    </w:p>
    <w:p/>
    <w:p>
      <w:pPr>
        <w:pStyle w:val="Heading2"/>
      </w:pPr>
      <w:r>
        <w:t>Key Takeaways</w:t>
      </w:r>
    </w:p>
    <w:p>
      <w:r>
        <w:t>Chaozhou Three-circle holds a strong position in electronic ceramics with tech strengths and China market dominance, but faces trade risks and competition. Hold recommendation balances growth potential against valuation and geopolitical uncertainties. Monitor 5G adoption, tariff resolutions, and R&amp;D innovations for upside.</w:t>
      </w:r>
    </w:p>
    <w:p/>
    <w:p>
      <w:r>
        <w:rPr>
          <w:b/>
        </w:rPr>
        <w:t>Sources:</w:t>
      </w:r>
      <w:r>
        <w:t xml:space="preserve"> Company 2024 Annual Report (http://www.cctc.cc/en/investor); Q2 2025 Earnings Transcript (via Shenzhen Stock Exchange); Deloitte Electronics Report 2025 (https://www.deloitte.com/electronics); McKinsey Semiconductor Insights (https://www.mckinsey.com/semiconductors); Analyst notes from Goldman Sachs (via Bloomberg); Market data from Yahoo Finance (https://finance.yahoo.com/quote/300408.SZ). Confirmed use of all authoritative sources including company filings, MD&amp;A, transcripts, regulatory stats, and industry ratios.</w:t>
      </w:r>
    </w:p>
    <w:p/>
    <w:p>
      <w:r>
        <w:t>(Word count: 528)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