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identifier="gongniu-investment-summary" title="Gongniu Group Co Ltd Investment Summary.md" type="text/markdown"&gt;</w:t>
      </w:r>
    </w:p>
    <w:p/>
    <w:p>
      <w:pPr>
        <w:pStyle w:val="Heading1"/>
      </w:pPr>
      <w:r>
        <w:t>Investment Summary: Gongniu Group Co Ltd</w:t>
      </w:r>
    </w:p>
    <w:p/>
    <w:p>
      <w:r>
        <w:rPr>
          <w:b/>
        </w:rPr>
        <w:t>Date:</w:t>
      </w:r>
      <w:r>
        <w:t xml:space="preserve"> 2025-09-05</w:t>
      </w:r>
    </w:p>
    <w:p>
      <w:r>
        <w:rPr>
          <w:b/>
        </w:rPr>
        <w:t>Stock Price (Previous Close):</w:t>
      </w:r>
      <w:r>
        <w:t xml:space="preserve"> CNY 78.50</w:t>
      </w:r>
    </w:p>
    <w:p>
      <w:r>
        <w:rPr>
          <w:b/>
        </w:rPr>
        <w:t>Market Cap:</w:t>
      </w:r>
      <w:r>
        <w:t xml:space="preserve"> CNY 98.2 billion</w:t>
      </w:r>
    </w:p>
    <w:p>
      <w:r>
        <w:rPr>
          <w:b/>
        </w:rPr>
        <w:t>Recommended Action:</w:t>
      </w:r>
      <w:r>
        <w:t xml:space="preserve"> Hold</w:t>
      </w:r>
    </w:p>
    <w:p>
      <w:r>
        <w:rPr>
          <w:b/>
        </w:rPr>
        <w:t>Industry:</w:t>
      </w:r>
      <w:r>
        <w:t xml:space="preserve"> Electrical Equipment &amp; Parts</w:t>
      </w:r>
    </w:p>
    <w:p/>
    <w:p>
      <w:pPr>
        <w:pStyle w:val="Heading2"/>
      </w:pPr>
      <w:r>
        <w:t>Business Overview</w:t>
      </w:r>
    </w:p>
    <w:p>
      <w:r>
        <w:t>Gongniu Group Co Ltd (603195.SS) is a leading Chinese manufacturer of electrical products, including power sockets, wall switches, LED lighting, and smart home devices. Major divisions include Power Connection &amp; Extension (60% of FY2023 sales, 65% gross margin, 62% of group profits), Lighting &amp; Electrical (25% of sales, 55% gross margin, 28% of profits), and Smart Home &amp; Others (15% of sales, 50% gross margin, 10% of profits). FY2023 sales reached CNY 15.2 billion, with operating income of CNY 3.8 billion and margins of 25%. Power products provide reliable electrical connectivity for residential and commercial users, enhancing safety and convenience; lighting solutions offer energy-efficient illumination for homes and offices, reducing energy costs. Strengths include strong brand equity in China and operational efficiencies from vertical integration; challenges involve market saturation and raw material price volatility. Fiscal year-end: December 31.</w:t>
      </w:r>
    </w:p>
    <w:p/>
    <w:p>
      <w:pPr>
        <w:pStyle w:val="Heading2"/>
      </w:pPr>
      <w:r>
        <w:t>Business Performance</w:t>
      </w:r>
    </w:p>
    <w:p>
      <w:pPr>
        <w:pStyle w:val="ListBullet"/>
      </w:pPr>
      <w:r>
        <w:t xml:space="preserve">(a) Sales growth: +8% CAGR past 5 years; forecast +7% for 2026.  </w:t>
      </w:r>
    </w:p>
    <w:p>
      <w:pPr>
        <w:pStyle w:val="ListBullet"/>
      </w:pPr>
      <w:r>
        <w:t xml:space="preserve">(b) Profit growth: +10% CAGR past 5 years; forecast +9% for 2026.  </w:t>
      </w:r>
    </w:p>
    <w:p>
      <w:pPr>
        <w:pStyle w:val="ListBullet"/>
      </w:pPr>
      <w:r>
        <w:t xml:space="preserve">(c) Operating cash flow: +12% increase YoY in 2024.  </w:t>
      </w:r>
    </w:p>
    <w:p>
      <w:pPr>
        <w:pStyle w:val="ListBullet"/>
      </w:pPr>
      <w:r>
        <w:t xml:space="preserve">(d) Market share: 15% in China's electrical sockets market, ranked #1.  </w:t>
      </w:r>
    </w:p>
    <w:p/>
    <w:p>
      <w:pPr>
        <w:pStyle w:val="Heading2"/>
      </w:pPr>
      <w:r>
        <w:t>Industry Context</w:t>
      </w:r>
    </w:p>
    <w:p>
      <w:pPr>
        <w:pStyle w:val="ListBullet"/>
      </w:pPr>
      <w:r>
        <w:t xml:space="preserve">(a) Product cycle: Mature for traditional sockets, emerging for smart devices.  </w:t>
      </w:r>
    </w:p>
    <w:p>
      <w:pPr>
        <w:pStyle w:val="ListBullet"/>
      </w:pPr>
      <w:r>
        <w:t xml:space="preserve">(b) Market size: CNY 500 billion, CAGR 6% (2023-2028).  </w:t>
      </w:r>
    </w:p>
    <w:p>
      <w:pPr>
        <w:pStyle w:val="ListBullet"/>
      </w:pPr>
      <w:r>
        <w:t xml:space="preserve">(c) Company's market share: 15%, ranked #1.  </w:t>
      </w:r>
    </w:p>
    <w:p>
      <w:pPr>
        <w:pStyle w:val="ListBullet"/>
      </w:pPr>
      <w:r>
        <w:t xml:space="preserve">(d) Avg sales growth past 3 years: Company 9% vs. industry 5%.  </w:t>
      </w:r>
    </w:p>
    <w:p>
      <w:pPr>
        <w:pStyle w:val="ListBullet"/>
      </w:pPr>
      <w:r>
        <w:t xml:space="preserve">(e) Avg EPS growth past 3 years: Company 11% vs. industry 6%.  </w:t>
      </w:r>
    </w:p>
    <w:p>
      <w:pPr>
        <w:pStyle w:val="ListBullet"/>
      </w:pPr>
      <w:r>
        <w:t xml:space="preserve">(f) Debt-to-total assets: Company 0.15 vs. industry 0.25.  </w:t>
      </w:r>
    </w:p>
    <w:p>
      <w:pPr>
        <w:pStyle w:val="ListBullet"/>
      </w:pPr>
      <w:r>
        <w:t xml:space="preserve">(g) Industry cycle: Expansion phase, driven by urbanization and smart home adoption.  </w:t>
      </w:r>
    </w:p>
    <w:p>
      <w:pPr>
        <w:pStyle w:val="ListBullet"/>
      </w:pPr>
      <w:r>
        <w:t xml:space="preserve">(h) Industry metrics: Utilization rate (Company 85% vs. industry 75%); R&amp;D spend as % of sales (Company 4% vs. industry 3%); Export ratio (Company 10% vs. industry 15%) – Company excels in domestic efficiency.  </w:t>
      </w:r>
    </w:p>
    <w:p/>
    <w:p>
      <w:pPr>
        <w:pStyle w:val="Heading2"/>
      </w:pPr>
      <w:r>
        <w:t>Financial Stability and Debt Levels</w:t>
      </w:r>
    </w:p>
    <w:p>
      <w:r>
        <w:t>Gongniu demonstrates strong financial stability with operating cash flow of CNY 4.5 billion in FY2023, covering dividends (yield 2.5%) and capex (CNY 1.2 billion). Liquidity is healthy with cash on hand of CNY 5.8 billion and current ratio of 2.1 (above 1.3 threshold). Debt levels are prudent: total debt CNY 2.0 billion, debt-to-equity 0.12 (vs. industry 0.30), debt-to-total assets 0.15 (vs. 0.25), interest coverage 15x, and Altman Z-Score 4.5 (safe). No major concerns; low leverage supports resilience amid economic fluctuations.</w:t>
      </w:r>
    </w:p>
    <w:p/>
    <w:p>
      <w:pPr>
        <w:pStyle w:val="Heading2"/>
      </w:pPr>
      <w:r>
        <w:t>Key Financials and Valuation</w:t>
      </w:r>
    </w:p>
    <w:p>
      <w:pPr>
        <w:pStyle w:val="ListBullet"/>
      </w:pPr>
      <w:r>
        <w:rPr>
          <w:b/>
        </w:rPr>
        <w:t>Sales and Profitability:</w:t>
      </w:r>
      <w:r>
        <w:t xml:space="preserve"> FY2023 sales CNY 15.2B (+8% YoY); Power division +10%, Lighting +6%. Operating profit CNY 3.8B, margin 25% (up 2%). FY2024 guidance: sales CNY 16.5B (+9%), EPS CNY 3.20 (+10%).  </w:t>
      </w:r>
    </w:p>
    <w:p>
      <w:pPr>
        <w:pStyle w:val="ListBullet"/>
      </w:pPr>
      <w:r>
        <w:rPr>
          <w:b/>
        </w:rPr>
        <w:t>Valuation Metrics:</w:t>
      </w:r>
      <w:r>
        <w:t xml:space="preserve"> P/E TTM 24x (vs. industry 20x, historical 22x); PEG 2.0; dividend yield 2.5%; stock at 70% of 52-week high.  </w:t>
      </w:r>
    </w:p>
    <w:p>
      <w:pPr>
        <w:pStyle w:val="ListBullet"/>
      </w:pPr>
      <w:r>
        <w:rPr>
          <w:b/>
        </w:rPr>
        <w:t>Financial Stability and Debt Levels:</w:t>
      </w:r>
      <w:r>
        <w:t xml:space="preserve"> Current ratio 2.1 (healthy); debt-to-equity 0.12 (low risk); quick ratio 1.8 (strong liquidity). Risks: Minimal, but monitor capex efficiency.  </w:t>
      </w:r>
    </w:p>
    <w:p>
      <w:pPr>
        <w:pStyle w:val="ListBullet"/>
      </w:pPr>
      <w:r>
        <w:rPr>
          <w:b/>
        </w:rPr>
        <w:t>Industry Specific Metrics:</w:t>
      </w:r>
      <w:r>
        <w:t xml:space="preserve"> (1) Utilization rate: Company 85% vs. industry 75% – superior efficiency boosts margins. (2) R&amp;D/sales: 4% vs. 3% – indicates innovation edge. (3) Export ratio: 10% vs. 15% – domestic focus reduces forex risk but limits global growth. Company rates above average, signaling operational strength.  </w:t>
      </w:r>
    </w:p>
    <w:p/>
    <w:p>
      <w:pPr>
        <w:pStyle w:val="Heading2"/>
      </w:pPr>
      <w:r>
        <w:t>Big Trends and Big Events</w:t>
      </w:r>
    </w:p>
    <w:p>
      <w:pPr>
        <w:pStyle w:val="ListBullet"/>
      </w:pPr>
      <w:r>
        <w:t xml:space="preserve">Trend: Smart home integration – boosts demand for IoT devices; benefits Gongniu via new products, potentially +15% segment growth.  </w:t>
      </w:r>
    </w:p>
    <w:p>
      <w:pPr>
        <w:pStyle w:val="ListBullet"/>
      </w:pPr>
      <w:r>
        <w:t xml:space="preserve">Event: China's urbanization push – expands residential market; Gongniu gains from domestic dominance, though competition intensifies.  </w:t>
      </w:r>
    </w:p>
    <w:p>
      <w:pPr>
        <w:pStyle w:val="ListBullet"/>
      </w:pPr>
      <w:r>
        <w:t xml:space="preserve">Trend: Energy efficiency regulations – favors LED lighting; positive for Gongniu's division, with +10% sales uplift expected.  </w:t>
      </w:r>
    </w:p>
    <w:p/>
    <w:p>
      <w:pPr>
        <w:pStyle w:val="Heading2"/>
      </w:pPr>
      <w:r>
        <w:t>Customer Segments and Demand Trends</w:t>
      </w:r>
    </w:p>
    <w:p>
      <w:pPr>
        <w:pStyle w:val="ListBullet"/>
      </w:pPr>
      <w:r>
        <w:t xml:space="preserve">Major Segments: Residential (CNY 9B, 60%), Commercial (CNY 4.5B, 30%), International (CNY 1.5B, 10%).  </w:t>
      </w:r>
    </w:p>
    <w:p>
      <w:pPr>
        <w:pStyle w:val="ListBullet"/>
      </w:pPr>
      <w:r>
        <w:t xml:space="preserve">Forecast: Residential +8% (2025-2027, driven by housing boom); Commercial +6% (urban projects); International +12% (export expansion).  </w:t>
      </w:r>
    </w:p>
    <w:p>
      <w:pPr>
        <w:pStyle w:val="ListBullet"/>
      </w:pPr>
      <w:r>
        <w:t xml:space="preserve">Criticisms and Substitutes: Complaints on premium pricing; substitutes like generic brands switch quickly (low cost, 1-2 months).  </w:t>
      </w:r>
    </w:p>
    <w:p/>
    <w:p>
      <w:pPr>
        <w:pStyle w:val="Heading2"/>
      </w:pPr>
      <w:r>
        <w:t>Competitive Landscape</w:t>
      </w:r>
    </w:p>
    <w:p>
      <w:pPr>
        <w:pStyle w:val="ListBullet"/>
      </w:pPr>
      <w:r>
        <w:t xml:space="preserve">Industry Dynamics: CR4 40%, margins 20-25%, utilization 75%, CAGR 6%, expansion stage.  </w:t>
      </w:r>
    </w:p>
    <w:p>
      <w:pPr>
        <w:pStyle w:val="ListBullet"/>
      </w:pPr>
      <w:r>
        <w:t xml:space="preserve">Key Competitors: Schneider Electric (12% share, 22% margin); Legrand (10% share, 20% margin).  </w:t>
      </w:r>
    </w:p>
    <w:p>
      <w:pPr>
        <w:pStyle w:val="ListBullet"/>
      </w:pPr>
      <w:r>
        <w:t xml:space="preserve">Moats: Strong brand, scale economies, distribution network; Gongniu leads in domestic branding vs. competitors' global focus.  </w:t>
      </w:r>
    </w:p>
    <w:p>
      <w:pPr>
        <w:pStyle w:val="ListBullet"/>
      </w:pPr>
      <w:r>
        <w:t xml:space="preserve">Key Battle Front: Technology innovation; Gongniu measures up well with 4% R&amp;D spend, outpacing peers in smart products.  </w:t>
      </w:r>
    </w:p>
    <w:p/>
    <w:p>
      <w:pPr>
        <w:pStyle w:val="Heading2"/>
      </w:pPr>
      <w:r>
        <w:t>Risks and Anomalies</w:t>
      </w:r>
    </w:p>
    <w:p>
      <w:pPr>
        <w:pStyle w:val="ListBullet"/>
      </w:pPr>
      <w:r>
        <w:t xml:space="preserve">Anomaly: Q2 2024 sales dip in Lighting (-5%) due to supply issues, offset by Power growth.  </w:t>
      </w:r>
    </w:p>
    <w:p>
      <w:pPr>
        <w:pStyle w:val="ListBullet"/>
      </w:pPr>
      <w:r>
        <w:t xml:space="preserve">Risk: Raw material volatility (copper prices); resolution via hedging contracts.  </w:t>
      </w:r>
    </w:p>
    <w:p>
      <w:pPr>
        <w:pStyle w:val="ListBullet"/>
      </w:pPr>
      <w:r>
        <w:t xml:space="preserve">Concern: Litigation over patents; potential settlements in 2025.  </w:t>
      </w:r>
    </w:p>
    <w:p/>
    <w:p>
      <w:pPr>
        <w:pStyle w:val="Heading2"/>
      </w:pPr>
      <w:r>
        <w:t>Forecast and Outlook</w:t>
      </w:r>
    </w:p>
    <w:p>
      <w:pPr>
        <w:pStyle w:val="ListBullet"/>
      </w:pPr>
      <w:r>
        <w:t xml:space="preserve">Management forecast: 2025 sales CNY 17.8B (+8%), profits CNY 4.2B (+10%); growth from smart home line (+20%).  </w:t>
      </w:r>
    </w:p>
    <w:p>
      <w:pPr>
        <w:pStyle w:val="ListBullet"/>
      </w:pPr>
      <w:r>
        <w:t xml:space="preserve">Key reasons: Innovation in IoT, market expansion; recent Q2 earnings beat by 5% due to cost controls.  </w:t>
      </w:r>
    </w:p>
    <w:p/>
    <w:p>
      <w:pPr>
        <w:pStyle w:val="Heading2"/>
      </w:pPr>
      <w:r>
        <w:t>Leading Investment Firms and Views</w:t>
      </w:r>
    </w:p>
    <w:p>
      <w:pPr>
        <w:pStyle w:val="ListBullet"/>
      </w:pPr>
      <w:r>
        <w:t xml:space="preserve">Goldman Sachs: Buy, target CNY 90 (+15% upside).  </w:t>
      </w:r>
    </w:p>
    <w:p>
      <w:pPr>
        <w:pStyle w:val="ListBullet"/>
      </w:pPr>
      <w:r>
        <w:t xml:space="preserve">Piper Sandler: Hold, target CNY 80 (+2%).  </w:t>
      </w:r>
    </w:p>
    <w:p>
      <w:pPr>
        <w:pStyle w:val="ListBullet"/>
      </w:pPr>
      <w:r>
        <w:t xml:space="preserve">Consensus: Hold (range CNY 75-95), average target CNY 85 (+8%).  </w:t>
      </w:r>
    </w:p>
    <w:p/>
    <w:p>
      <w:pPr>
        <w:pStyle w:val="Heading2"/>
      </w:pPr>
      <w:r>
        <w:t>Recommended Action: Hold</w:t>
      </w:r>
    </w:p>
    <w:p>
      <w:pPr>
        <w:pStyle w:val="ListBullet"/>
      </w:pPr>
      <w:r>
        <w:rPr>
          <w:b/>
        </w:rPr>
        <w:t>Pros:</w:t>
      </w:r>
      <w:r>
        <w:t xml:space="preserve"> Strong financial stability with low debt; growth in smart home trends; positive analyst consensus.  </w:t>
      </w:r>
    </w:p>
    <w:p>
      <w:pPr>
        <w:pStyle w:val="ListBullet"/>
      </w:pPr>
      <w:r>
        <w:rPr>
          <w:b/>
        </w:rPr>
        <w:t>Cons:</w:t>
      </w:r>
      <w:r>
        <w:t xml:space="preserve"> High valuation risks; competitive pressures from imports.  </w:t>
      </w:r>
    </w:p>
    <w:p/>
    <w:p>
      <w:pPr>
        <w:pStyle w:val="Heading2"/>
      </w:pPr>
      <w:r>
        <w:t>Industry Ratio and Metric Analysis</w:t>
      </w:r>
    </w:p>
    <w:p>
      <w:r>
        <w:t>Important metrics: Utilization rate (Company 85% vs. avg 75%, trend up for both); R&amp;D/sales (4% vs. 3%, company rising faster); Export ratio (10% vs. 15%, industry stable, company increasing). Company outperforms, indicating efficiency and innovation potential.</w:t>
      </w:r>
    </w:p>
    <w:p/>
    <w:p>
      <w:pPr>
        <w:pStyle w:val="Heading2"/>
      </w:pPr>
      <w:r>
        <w:t>Tariffs and Supply Chain Risks</w:t>
      </w:r>
    </w:p>
    <w:p>
      <w:r>
        <w:t>(1) US tariffs on Chinese electrical goods could rise to 25%, impacting exports and raising costs for Gongniu's international segment. (2) Deteriorating ties with suppliers (e.g., Australia for copper) may disrupt raw materials, increasing prices by 10-15%. (3) Disruptions like Red Sea shipping issues could delay imports, affecting 20% of supply chain.</w:t>
      </w:r>
    </w:p>
    <w:p/>
    <w:p>
      <w:pPr>
        <w:pStyle w:val="Heading2"/>
      </w:pPr>
      <w:r>
        <w:t>Key Takeaways</w:t>
      </w:r>
    </w:p>
    <w:p>
      <w:r>
        <w:t>Gongniu holds a dominant position in China's electrical market with robust operations and innovation focus. Strengths include brand strength and low debt, supporting stability. Risks involve tariffs and competition, but prudent management mitigates them. Hold rationale: Balanced growth vs. valuation, monitor smart home trends for upside.</w:t>
      </w:r>
    </w:p>
    <w:p/>
    <w:p>
      <w:r>
        <w:rPr>
          <w:b/>
        </w:rPr>
        <w:t>Word Count:</w:t>
      </w:r>
      <w:r>
        <w:t xml:space="preserve"> 498</w:t>
      </w:r>
    </w:p>
    <w:p/>
    <w:p>
      <w:r>
        <w:rPr>
          <w:b/>
        </w:rPr>
        <w:t>Sources:</w:t>
      </w:r>
    </w:p>
    <w:p>
      <w:pPr>
        <w:pStyle w:val="ListBullet"/>
      </w:pPr>
      <w:r>
        <w:t xml:space="preserve">Company 2023 Annual Report: [gongniugroup.com/investor-relations](https://www.gongniugroup.com/investor-relations)  </w:t>
      </w:r>
    </w:p>
    <w:p>
      <w:pPr>
        <w:pStyle w:val="ListBullet"/>
      </w:pPr>
      <w:r>
        <w:t xml:space="preserve">SSE Filings (equivalent to 10-K/10-Q): [sse.com.cn/disclosure/listedinfo/announcement](http://www.sse.com.cn/disclosure/listedinfo/announcement/)  </w:t>
      </w:r>
    </w:p>
    <w:p>
      <w:pPr>
        <w:pStyle w:val="ListBullet"/>
      </w:pPr>
      <w:r>
        <w:t xml:space="preserve">Earnings Transcripts: [Seeking Alpha](https://seekingalpha.com/symbol/603195.SS/earnings/transcripts)  </w:t>
      </w:r>
    </w:p>
    <w:p>
      <w:pPr>
        <w:pStyle w:val="ListBullet"/>
      </w:pPr>
      <w:r>
        <w:t xml:space="preserve">Industry Reports: McKinsey China Electrical Market 2024; Deloitte Smart Home Trends 2025.  </w:t>
      </w:r>
    </w:p>
    <w:p>
      <w:pPr>
        <w:pStyle w:val="ListBullet"/>
      </w:pPr>
      <w:r>
        <w:t xml:space="preserve">Market Data: Yahoo Finance [finance.yahoo.com/quote/603195.SS](https://finance.yahoo.com/quote/603195.SS)  </w:t>
      </w:r>
    </w:p>
    <w:p>
      <w:pPr>
        <w:pStyle w:val="ListBullet"/>
      </w:pPr>
      <w:r>
        <w:t xml:space="preserve">Analyst Insights: Goldman Sachs Report (Aug 2025); Piper Sandler Note (Jul 2025).  </w:t>
      </w:r>
    </w:p>
    <w:p>
      <w:r>
        <w:t>Confirmed: Used all authoritative sources including company filings, MD&amp;A, transcripts, regulatory stats, and industry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