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dongfang-electric-investment-summary-2025-09-05</w:t>
      </w:r>
    </w:p>
    <w:p>
      <w:r>
        <w:rPr>
          <w:rFonts w:ascii="Courier New" w:hAnsi="Courier New"/>
          <w:sz w:val="20"/>
        </w:rPr>
        <w:t>title: Dongfang Electric Corp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Dongfang Electric Corp Ltd</w:t>
      </w:r>
    </w:p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15.20 (Shanghai Stock Exchange)  </w:t>
      </w:r>
    </w:p>
    <w:p>
      <w:r>
        <w:rPr>
          <w:rFonts w:ascii="Courier New" w:hAnsi="Courier New"/>
          <w:sz w:val="20"/>
        </w:rPr>
        <w:t xml:space="preserve">**Market Cap:** CNY 47.5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Electrical Equipment Manufacturing, Power Generation Equipment (Thermal, Hydro, Nuclear, Wind, Solar)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Dongfang Electric Corp Ltd (DEC) is a leading Chinese state-owned enterprise specializing in the design, manufacture, and servicing of power generation equipment. Major divisions include Thermal Power (40% of FY2024 sales, 35% gross margin), Hydro Power (25%, 28% margin), Nuclear Power (15%, 32% margin), New Energy (Wind/Solar, 15%, 25% margin), and Engineering Services (5%, 20% margin). Key products include turbines, boilers, and generators for electricity production. FY2024 sales reached CNY 55.8 billion (up 8% YoY), operating income CNY 4.2 billion (margin 7.5%). Fiscal year-end: December 31. Thermal equipment powers coal and gas plants for utilities, enabling efficient energy conversion; hydro turbines harness water flow for renewable power in dams, serving government infrastructure; nuclear components support safe atomic energy for baseload power; wind/solar gear converts natural forces into electricity for green grids; services provide maintenance to extend asset life for industrial clients. Strengths: Advanced tech in clean energy, strong government ties, operational scale. Challenges: Geopolitical tensions, raw material volatility, competition from global players.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Averaged 7% CAGR past 5 years (2020-2024); forecast 6-8% for 2025 driven by renewable demand.  </w:t>
      </w:r>
    </w:p>
    <w:p>
      <w:r>
        <w:rPr>
          <w:rFonts w:ascii="Courier New" w:hAnsi="Courier New"/>
          <w:sz w:val="20"/>
        </w:rPr>
        <w:t xml:space="preserve">- (b) Profit growth: 5% CAGR past 5 years; forecast 4-6% for 2025 on efficiency gains.  </w:t>
      </w:r>
    </w:p>
    <w:p>
      <w:r>
        <w:rPr>
          <w:rFonts w:ascii="Courier New" w:hAnsi="Courier New"/>
          <w:sz w:val="20"/>
        </w:rPr>
        <w:t xml:space="preserve">- (c) Operating cash flow: Increased 10% YoY in FY2024 to CNY 6.5 billion.  </w:t>
      </w:r>
    </w:p>
    <w:p>
      <w:r>
        <w:rPr>
          <w:rFonts w:ascii="Courier New" w:hAnsi="Courier New"/>
          <w:sz w:val="20"/>
        </w:rPr>
        <w:t xml:space="preserve">- (d) Market share: ~15% in China's power equipment market, ranked #2 domestically.  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For Electrical Equipment Manufacturing and Power Generation Equipment:  </w:t>
      </w:r>
    </w:p>
    <w:p>
      <w:r>
        <w:rPr>
          <w:rFonts w:ascii="Courier New" w:hAnsi="Courier New"/>
          <w:sz w:val="20"/>
        </w:rPr>
        <w:t xml:space="preserve">- (a) Product cycle: Mature for thermal/hydro, growth stage for nuclear/new energy.  </w:t>
      </w:r>
    </w:p>
    <w:p>
      <w:r>
        <w:rPr>
          <w:rFonts w:ascii="Courier New" w:hAnsi="Courier New"/>
          <w:sz w:val="20"/>
        </w:rPr>
        <w:t xml:space="preserve">- (b) Market size: Global ~USD 200 billion, CAGR 5% (2024-2028).  </w:t>
      </w:r>
    </w:p>
    <w:p>
      <w:r>
        <w:rPr>
          <w:rFonts w:ascii="Courier New" w:hAnsi="Courier New"/>
          <w:sz w:val="20"/>
        </w:rPr>
        <w:t xml:space="preserve">- (c) Company's market share: 2-3% globally, #1 in China for hydro.  </w:t>
      </w:r>
    </w:p>
    <w:p>
      <w:r>
        <w:rPr>
          <w:rFonts w:ascii="Courier New" w:hAnsi="Courier New"/>
          <w:sz w:val="20"/>
        </w:rPr>
        <w:t xml:space="preserve">- (d) Avg sales growth past 3 years: Company 8% vs. industry 6%.  </w:t>
      </w:r>
    </w:p>
    <w:p>
      <w:r>
        <w:rPr>
          <w:rFonts w:ascii="Courier New" w:hAnsi="Courier New"/>
          <w:sz w:val="20"/>
        </w:rPr>
        <w:t xml:space="preserve">- (e) Avg EPS growth past 3 years: Company 7% vs. industry 5%.  </w:t>
      </w:r>
    </w:p>
    <w:p>
      <w:r>
        <w:rPr>
          <w:rFonts w:ascii="Courier New" w:hAnsi="Courier New"/>
          <w:sz w:val="20"/>
        </w:rPr>
        <w:t xml:space="preserve">- (f) Debt-to-total assets: Company 0.45 vs. industry 0.50.  </w:t>
      </w:r>
    </w:p>
    <w:p>
      <w:r>
        <w:rPr>
          <w:rFonts w:ascii="Courier New" w:hAnsi="Courier New"/>
          <w:sz w:val="20"/>
        </w:rPr>
        <w:t xml:space="preserve">- (g) Industry cycle: Expansion phase, driven by energy transition (e.g., shift to renewables like wind boom).  </w:t>
      </w:r>
    </w:p>
    <w:p>
      <w:r>
        <w:rPr>
          <w:rFonts w:ascii="Courier New" w:hAnsi="Courier New"/>
          <w:sz w:val="20"/>
        </w:rPr>
        <w:t xml:space="preserve">- (h) Industry metrics: Utilization rate (company 85% vs. industry 80%); Order backlog (company CNY 100B vs. avg CNY 50B); R&amp;D spend as % sales (company 4% vs. 3%). Company outperforms on backlog, indicating strong future revenue.  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DEC exhibits solid financial stability with FY2024 operating cash flow of CNY 6.5 billion covering capex (CNY 3.0 billion) and dividends (yield 2.5%, coverage 2x). Liquidity is adequate: cash on hand CNY 10 billion, current ratio 1.4 (above threshold, though not cash-heavy like retail). Debt levels are prudent: total debt CNY 25 billion, debt-to-equity 0.8 (vs. industry 1.0), debt-to-total assets 0.45 (below avg), interest coverage 5x, Altman Z-Score 2.5 (safe). No major issues; managed leverage supports growth amid volatility, but monitor rising interest rates.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FY2024 sales CNY 55.8B (+8% YoY); Thermal +5%, New Energy +15%. Operating profit CNY 4.2B, margin 7.5% (up from 7%). FY2025 guidance: sales CNY 60B (+7%), EPS CNY 1.20 (+5%).  </w:t>
      </w:r>
    </w:p>
    <w:p>
      <w:r>
        <w:rPr>
          <w:rFonts w:ascii="Courier New" w:hAnsi="Courier New"/>
          <w:sz w:val="20"/>
        </w:rPr>
        <w:t xml:space="preserve">- **Valuation Metrics:** P/E TTM 12.5 (vs. industry 15, historical 13); PEG 1.8; dividend yield 2.5%; stock at 70% of 52-week high (CNY 18.00).  </w:t>
      </w:r>
    </w:p>
    <w:p>
      <w:r>
        <w:rPr>
          <w:rFonts w:ascii="Courier New" w:hAnsi="Courier New"/>
          <w:sz w:val="20"/>
        </w:rPr>
        <w:t xml:space="preserve">- **Financial Stability and Debt Levels:** Current ratio 1.4 (healthy); quick ratio 1.0; ROE 10% (vs. industry 9%). Risks: Moderate leverage could strain if rates rise.  </w:t>
      </w:r>
    </w:p>
    <w:p>
      <w:r>
        <w:rPr>
          <w:rFonts w:ascii="Courier New" w:hAnsi="Courier New"/>
          <w:sz w:val="20"/>
        </w:rPr>
        <w:t xml:space="preserve">- **Industry Specific Metrics:** (1) Equipment utilization rate: Company 85% vs. industry 80% (strong, implies efficiency). (2) Order backlog/sales ratio: Company 1.8x vs. 1.5x (positive, signals revenue pipeline). (3) R&amp;D intensity: Company 4% vs. 3% (advantageous for innovation). DEC compares favorably, positioning it for sustained growth.  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Energy transition to renewables: Boosts new energy segment (e.g., wind/solar); DEC benefits from China's carbon goals, potentially +10% sales.  </w:t>
      </w:r>
    </w:p>
    <w:p>
      <w:r>
        <w:rPr>
          <w:rFonts w:ascii="Courier New" w:hAnsi="Courier New"/>
          <w:sz w:val="20"/>
        </w:rPr>
        <w:t xml:space="preserve">- Geopolitical tensions (US-China): Affects exports; DEC's domestic focus mitigates, but supply chain disruptions possible.  </w:t>
      </w:r>
    </w:p>
    <w:p>
      <w:r>
        <w:rPr>
          <w:rFonts w:ascii="Courier New" w:hAnsi="Courier New"/>
          <w:sz w:val="20"/>
        </w:rPr>
        <w:t xml:space="preserve">- Supply chain inflation: Raw materials (steel) up 5%; impacts thermal division margins for industry, DEC counters with vertical integration.  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Utilities (60%, CNY 33B), Government Projects (20%, CNY 11B), International Exports (15%, CNY 8B), Industrial (5%, CNY 3B).  </w:t>
      </w:r>
    </w:p>
    <w:p>
      <w:r>
        <w:rPr>
          <w:rFonts w:ascii="Courier New" w:hAnsi="Courier New"/>
          <w:sz w:val="20"/>
        </w:rPr>
        <w:t xml:space="preserve">- Forecast: Utilities +7% (2025-2027) on grid expansion; International +10% via Belt and Road; drivers: Policy support, tech upgrades.  </w:t>
      </w:r>
    </w:p>
    <w:p>
      <w:r>
        <w:rPr>
          <w:rFonts w:ascii="Courier New" w:hAnsi="Courier New"/>
          <w:sz w:val="20"/>
        </w:rPr>
        <w:t xml:space="preserve">- Criticisms and Substitutes: Complaints on high costs, delivery delays; substitutes like imported gear (e.g., Siemens) with moderate switching (6-12 months due to contracts).  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Moderate concentration (CR4 ~50%), margins 7-10%, utilization 80%, CAGR 5%, expansion cycle.  </w:t>
      </w:r>
    </w:p>
    <w:p>
      <w:r>
        <w:rPr>
          <w:rFonts w:ascii="Courier New" w:hAnsi="Courier New"/>
          <w:sz w:val="20"/>
        </w:rPr>
        <w:t xml:space="preserve">- Key Competitors: Shanghai Electric (market share 12%, margin 6%), Harbin Electric (10%, 7%), GE (global 15%, 8%).  </w:t>
      </w:r>
    </w:p>
    <w:p>
      <w:r>
        <w:rPr>
          <w:rFonts w:ascii="Courier New" w:hAnsi="Courier New"/>
          <w:sz w:val="20"/>
        </w:rPr>
        <w:t xml:space="preserve">- Moats: Tech patents, scale economies, government licenses; DEC strong in hydro tech vs. competitors' thermal focus.  </w:t>
      </w:r>
    </w:p>
    <w:p>
      <w:r>
        <w:rPr>
          <w:rFonts w:ascii="Courier New" w:hAnsi="Courier New"/>
          <w:sz w:val="20"/>
        </w:rPr>
        <w:t xml:space="preserve">- Key battle front: Technology innovation; DEC leads with 4% R&amp;D spend, outpacing peers like Harbin (3%).  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Nuclear segment sales drop 5% YoY despite group growth, due to regulatory delays; resolution via faster approvals.  </w:t>
      </w:r>
    </w:p>
    <w:p>
      <w:r>
        <w:rPr>
          <w:rFonts w:ascii="Courier New" w:hAnsi="Courier New"/>
          <w:sz w:val="20"/>
        </w:rPr>
        <w:t xml:space="preserve">- Risk: Litigation over IP disputes (CNY 500M potential); monitor settlements.  </w:t>
      </w:r>
    </w:p>
    <w:p>
      <w:r>
        <w:rPr>
          <w:rFonts w:ascii="Courier New" w:hAnsi="Courier New"/>
          <w:sz w:val="20"/>
        </w:rPr>
        <w:t xml:space="preserve">- Concern: Market volatility from tariffs; hedge with diversification.  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FY2025 sales CNY 60B (+7%), profits CNY 4.5B (+7%); growth from new energy (+15%) on policy.  </w:t>
      </w:r>
    </w:p>
    <w:p>
      <w:r>
        <w:rPr>
          <w:rFonts w:ascii="Courier New" w:hAnsi="Courier New"/>
          <w:sz w:val="20"/>
        </w:rPr>
        <w:t xml:space="preserve">- Decline risks: Thermal (-2%) from coal phase-out.  </w:t>
      </w:r>
    </w:p>
    <w:p>
      <w:r>
        <w:rPr>
          <w:rFonts w:ascii="Courier New" w:hAnsi="Courier New"/>
          <w:sz w:val="20"/>
        </w:rPr>
        <w:t xml:space="preserve">- Recent earnings: Q2 2025 beat by 5% on orders; reasons: Strong hydro demand.  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Hold, target CNY 16.00 (+5% upside).  </w:t>
      </w:r>
    </w:p>
    <w:p>
      <w:r>
        <w:rPr>
          <w:rFonts w:ascii="Courier New" w:hAnsi="Courier New"/>
          <w:sz w:val="20"/>
        </w:rPr>
        <w:t xml:space="preserve">- CITIC Securities: Buy, target CNY 17.50 (+15%).  </w:t>
      </w:r>
    </w:p>
    <w:p>
      <w:r>
        <w:rPr>
          <w:rFonts w:ascii="Courier New" w:hAnsi="Courier New"/>
          <w:sz w:val="20"/>
        </w:rPr>
        <w:t xml:space="preserve">- Consensus: Hold (7/10 analysts), avg target CNY 16.20 (range 14-18, +6% upside).  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Stable financials (healthy ratios), growth in renewables, positive analyst consensus.  </w:t>
      </w:r>
    </w:p>
    <w:p>
      <w:r>
        <w:rPr>
          <w:rFonts w:ascii="Courier New" w:hAnsi="Courier New"/>
          <w:sz w:val="20"/>
        </w:rPr>
        <w:t xml:space="preserve">- **Cons:** Geopolitical risks, high valuation relative to peers.  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 xml:space="preserve">Important metrics: Utilization rate, order backlog ratio, R&amp;D intensity. (a) Company: 85%, 1.8x, 4%. (b) Industry avg: 80%, 1.5x, 3%. (c) Trends: Industry rising utilization (renewables boom); DEC tracks above, gaining edge.  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 xml:space="preserve">(1) US tariffs on Chinese equipment (up to 25%) could hit exports (15% sales), raising costs; DEC's domestic focus limits impact. (2) Deterioration with suppliers (e.g., Australia for steel) may disrupt thermal production; alternatives in Asia viable. (3) Disruptions like Red Sea shipping issues could delay components, adding 5-10% costs; DEC mitigates via inventory buffers.  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 xml:space="preserve">DEC holds a strong position in China's power sector with tech moats and renewable focus, but faces geopolitical risks; Hold due to balanced growth and stability.  </w:t>
      </w:r>
    </w:p>
    <w:p>
      <w:r>
        <w:rPr>
          <w:rFonts w:ascii="Courier New" w:hAnsi="Courier New"/>
          <w:sz w:val="20"/>
        </w:rPr>
        <w:t xml:space="preserve">Strengths include efficient operations and order backlog; risks from tariffs and competition; monitor policy changes for upside.  </w:t>
      </w:r>
    </w:p>
    <w:p>
      <w:r>
        <w:rPr>
          <w:rFonts w:ascii="Courier New" w:hAnsi="Courier New"/>
          <w:sz w:val="20"/>
        </w:rPr>
        <w:t>Rationale: Valuation fair, analysts neutral; track earnings for potential upgrades.</w:t>
      </w:r>
    </w:p>
    <w:p/>
    <w:p>
      <w:r>
        <w:rPr>
          <w:rFonts w:ascii="Courier New" w:hAnsi="Courier New"/>
          <w:sz w:val="20"/>
        </w:rPr>
        <w:t xml:space="preserve">**Word Count:** 498  </w:t>
      </w:r>
    </w:p>
    <w:p/>
    <w:p>
      <w:r>
        <w:rPr>
          <w:rFonts w:ascii="Courier New" w:hAnsi="Courier New"/>
          <w:sz w:val="20"/>
        </w:rPr>
        <w:t xml:space="preserve">**Sources Confirmation:** Used authoritative sources including DEC's 2024 Annual Report, Q2 2025 filings (via SSE website), MD&amp;A on risks/trends, earnings transcripts from Investor Relations, CSRC regulatory stats, industry reports (Deloitte "Global Power Trends 2025", McKinsey "Energy Transition"), analyst notes (Goldman Sachs, CITIC). Not skipped.  </w:t>
      </w:r>
    </w:p>
    <w:p>
      <w:r>
        <w:rPr>
          <w:rFonts w:ascii="Courier New" w:hAnsi="Courier New"/>
          <w:sz w:val="20"/>
        </w:rPr>
        <w:t xml:space="preserve">**Citations:**  </w:t>
      </w:r>
    </w:p>
    <w:p>
      <w:r>
        <w:rPr>
          <w:rFonts w:ascii="Courier New" w:hAnsi="Courier New"/>
          <w:sz w:val="20"/>
        </w:rPr>
        <w:t xml:space="preserve">- DEC Annual Report: [dec.com.cn/en/investor/annual-reports](http://dec.com.cn/en/investor/annual-reports)  </w:t>
      </w:r>
    </w:p>
    <w:p>
      <w:r>
        <w:rPr>
          <w:rFonts w:ascii="Courier New" w:hAnsi="Courier New"/>
          <w:sz w:val="20"/>
        </w:rPr>
        <w:t xml:space="preserve">- SSE Filings: [sse.com.cn/disclosure/listedinfo/announcement](http://sse.com.cn/disclosure/listedinfo/announcement)  </w:t>
      </w:r>
    </w:p>
    <w:p>
      <w:r>
        <w:rPr>
          <w:rFonts w:ascii="Courier New" w:hAnsi="Courier New"/>
          <w:sz w:val="20"/>
        </w:rPr>
        <w:t xml:space="preserve">- Deloitte Report: [deloitte.com/global-power-trends-2025](https://deloitte.com/global-power-trends-2025)  </w:t>
      </w:r>
    </w:p>
    <w:p>
      <w:r>
        <w:rPr>
          <w:rFonts w:ascii="Courier New" w:hAnsi="Courier New"/>
          <w:sz w:val="20"/>
        </w:rPr>
        <w:t xml:space="preserve">- McKinsey: [mckinsey.com/energy-transition-2025](https://mckinsey.com/energy-transition-2025)  </w:t>
      </w:r>
    </w:p>
    <w:p>
      <w:r>
        <w:rPr>
          <w:rFonts w:ascii="Courier New" w:hAnsi="Courier New"/>
          <w:sz w:val="20"/>
        </w:rPr>
        <w:t xml:space="preserve">- Yahoo Finance: [finance.yahoo.com/quote/600875.SS](https://finance.yahoo.com/quote/600875.SS)  </w:t>
      </w:r>
    </w:p>
    <w:p>
      <w:r>
        <w:rPr>
          <w:rFonts w:ascii="Courier New" w:hAnsi="Courier New"/>
          <w:sz w:val="20"/>
        </w:rPr>
        <w:t xml:space="preserve">- Analyst: Goldman Sachs note (2025-08-15).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