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E804" w14:textId="250BD0B2" w:rsidR="00081894" w:rsidRPr="00701F90" w:rsidRDefault="00081894" w:rsidP="00081894">
      <w:pPr>
        <w:pStyle w:val="Heading1"/>
        <w:rPr>
          <w:sz w:val="36"/>
          <w:szCs w:val="36"/>
        </w:rPr>
      </w:pPr>
      <w:r w:rsidRPr="00701F90">
        <w:rPr>
          <w:sz w:val="36"/>
          <w:szCs w:val="36"/>
        </w:rPr>
        <w:t xml:space="preserve">Investment Summary: Hengli Petrochemical Co., Ltd. (600346.SS) </w:t>
      </w:r>
    </w:p>
    <w:p w14:paraId="53D3B84B" w14:textId="77777777" w:rsidR="00081894" w:rsidRPr="00701F90" w:rsidRDefault="00081894" w:rsidP="00081894">
      <w:pPr>
        <w:pStyle w:val="my-2"/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Date:</w:t>
      </w:r>
      <w:r w:rsidRPr="00701F90">
        <w:rPr>
          <w:sz w:val="22"/>
          <w:szCs w:val="22"/>
        </w:rPr>
        <w:t xml:space="preserve"> September 5, 2025</w:t>
      </w:r>
      <w:r w:rsidRPr="00701F90">
        <w:rPr>
          <w:sz w:val="22"/>
          <w:szCs w:val="22"/>
        </w:rPr>
        <w:br/>
      </w:r>
      <w:r w:rsidRPr="00701F90">
        <w:rPr>
          <w:rStyle w:val="Strong"/>
          <w:rFonts w:eastAsiaTheme="majorEastAsia"/>
          <w:sz w:val="22"/>
          <w:szCs w:val="22"/>
        </w:rPr>
        <w:t>Stock Price (Sep 4, 2025 Close):</w:t>
      </w:r>
      <w:r w:rsidRPr="00701F90">
        <w:rPr>
          <w:sz w:val="22"/>
          <w:szCs w:val="22"/>
        </w:rPr>
        <w:t xml:space="preserve"> Not provided in public search results (industry consensus in range CNY 17–18)</w:t>
      </w:r>
      <w:hyperlink r:id="rId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701F90">
        <w:rPr>
          <w:sz w:val="22"/>
          <w:szCs w:val="22"/>
        </w:rPr>
        <w:br/>
      </w:r>
      <w:r w:rsidRPr="00701F90">
        <w:rPr>
          <w:rStyle w:val="Strong"/>
          <w:rFonts w:eastAsiaTheme="majorEastAsia"/>
          <w:sz w:val="22"/>
          <w:szCs w:val="22"/>
        </w:rPr>
        <w:t>Market Cap:</w:t>
      </w:r>
      <w:r w:rsidRPr="00701F90">
        <w:rPr>
          <w:sz w:val="22"/>
          <w:szCs w:val="22"/>
        </w:rPr>
        <w:t xml:space="preserve"> USD 17.2 </w:t>
      </w:r>
      <w:proofErr w:type="spellStart"/>
      <w:r w:rsidRPr="00701F90">
        <w:rPr>
          <w:sz w:val="22"/>
          <w:szCs w:val="22"/>
        </w:rPr>
        <w:t>billion</w:t>
      </w:r>
      <w:hyperlink r:id="rId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multiples</w:t>
        </w:r>
        <w:proofErr w:type="spellEnd"/>
      </w:hyperlink>
      <w:r w:rsidRPr="00701F90">
        <w:rPr>
          <w:sz w:val="22"/>
          <w:szCs w:val="22"/>
        </w:rPr>
        <w:br/>
      </w:r>
      <w:r w:rsidRPr="00701F90">
        <w:rPr>
          <w:rStyle w:val="Strong"/>
          <w:rFonts w:eastAsiaTheme="majorEastAsia"/>
          <w:sz w:val="22"/>
          <w:szCs w:val="22"/>
        </w:rPr>
        <w:t>Recommended Action:</w:t>
      </w:r>
      <w:r w:rsidRPr="00701F90">
        <w:rPr>
          <w:sz w:val="22"/>
          <w:szCs w:val="22"/>
        </w:rPr>
        <w:t xml:space="preserve"> </w:t>
      </w:r>
      <w:r w:rsidRPr="00701F90">
        <w:rPr>
          <w:rStyle w:val="Strong"/>
          <w:rFonts w:eastAsiaTheme="majorEastAsia"/>
          <w:sz w:val="22"/>
          <w:szCs w:val="22"/>
        </w:rPr>
        <w:t>Hold</w:t>
      </w:r>
      <w:r w:rsidRPr="00701F90">
        <w:rPr>
          <w:sz w:val="22"/>
          <w:szCs w:val="22"/>
        </w:rPr>
        <w:br/>
      </w:r>
      <w:r w:rsidRPr="00701F90">
        <w:rPr>
          <w:rStyle w:val="Strong"/>
          <w:rFonts w:eastAsiaTheme="majorEastAsia"/>
          <w:sz w:val="22"/>
          <w:szCs w:val="22"/>
        </w:rPr>
        <w:t>Industry:</w:t>
      </w:r>
      <w:r w:rsidRPr="00701F90">
        <w:rPr>
          <w:sz w:val="22"/>
          <w:szCs w:val="22"/>
        </w:rPr>
        <w:t xml:space="preserve"> Petrochemicals (Main), Textiles, Oil Refining</w:t>
      </w:r>
      <w:hyperlink r:id="rId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global.hengli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C520316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35ADA0DB">
          <v:rect id="_x0000_i1025" style="width:0;height:1.5pt" o:hralign="center" o:hrstd="t" o:hr="t" fillcolor="#a0a0a0" stroked="f"/>
        </w:pict>
      </w:r>
    </w:p>
    <w:p w14:paraId="714D6E22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Business Overview</w:t>
      </w:r>
    </w:p>
    <w:p w14:paraId="4286F408" w14:textId="77777777" w:rsidR="00081894" w:rsidRPr="00701F90" w:rsidRDefault="00081894" w:rsidP="00081894">
      <w:pPr>
        <w:pStyle w:val="my-2"/>
        <w:rPr>
          <w:sz w:val="22"/>
          <w:szCs w:val="22"/>
        </w:rPr>
      </w:pPr>
      <w:r w:rsidRPr="00701F90">
        <w:rPr>
          <w:sz w:val="22"/>
          <w:szCs w:val="22"/>
        </w:rPr>
        <w:t xml:space="preserve">Hengli Petrochemical is one of China’s largest integrated producers of polyester and petrochemicals, focusing on purified terephthalic acid (PTA), polyester </w:t>
      </w:r>
      <w:proofErr w:type="spellStart"/>
      <w:r w:rsidRPr="00701F90">
        <w:rPr>
          <w:sz w:val="22"/>
          <w:szCs w:val="22"/>
        </w:rPr>
        <w:t>fibers</w:t>
      </w:r>
      <w:proofErr w:type="spellEnd"/>
      <w:r w:rsidRPr="00701F90">
        <w:rPr>
          <w:sz w:val="22"/>
          <w:szCs w:val="22"/>
        </w:rPr>
        <w:t>, and oil refining. Major operating divisions include the Petrochemical Segment (over 65% of revenue), Polyester Segment (approx. 30%), and Headquarters/Other. Subsidiaries include Hengli Petrochemical (Dalian) Refining &amp; Chemical and Hengli Petrochemical (Dalian) Chemical, recently merged to streamline operations. Parent company is Hengli Group Co., Ltd..</w:t>
      </w:r>
      <w:hyperlink r:id="rId1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  <w:r w:rsidRPr="00701F90">
        <w:rPr>
          <w:sz w:val="22"/>
          <w:szCs w:val="22"/>
        </w:rPr>
        <w:br/>
        <w:t xml:space="preserve">FY 2024 group revenue: </w:t>
      </w:r>
      <w:r w:rsidRPr="00701F90">
        <w:rPr>
          <w:rStyle w:val="Strong"/>
          <w:rFonts w:eastAsiaTheme="majorEastAsia"/>
          <w:sz w:val="22"/>
          <w:szCs w:val="22"/>
        </w:rPr>
        <w:t>CNY 236.4B</w:t>
      </w:r>
      <w:r w:rsidRPr="00701F90">
        <w:rPr>
          <w:sz w:val="22"/>
          <w:szCs w:val="22"/>
        </w:rPr>
        <w:t xml:space="preserve">, net profit: </w:t>
      </w:r>
      <w:r w:rsidRPr="00701F90">
        <w:rPr>
          <w:rStyle w:val="Strong"/>
          <w:rFonts w:eastAsiaTheme="majorEastAsia"/>
          <w:sz w:val="22"/>
          <w:szCs w:val="22"/>
        </w:rPr>
        <w:t>CNY 7.04B</w:t>
      </w:r>
      <w:r w:rsidRPr="00701F90">
        <w:rPr>
          <w:sz w:val="22"/>
          <w:szCs w:val="22"/>
        </w:rPr>
        <w:t xml:space="preserve">, gross margin: </w:t>
      </w:r>
      <w:r w:rsidRPr="00701F90">
        <w:rPr>
          <w:rStyle w:val="Strong"/>
          <w:rFonts w:eastAsiaTheme="majorEastAsia"/>
          <w:sz w:val="22"/>
          <w:szCs w:val="22"/>
        </w:rPr>
        <w:t>~7.75%</w:t>
      </w:r>
      <w:r w:rsidRPr="00701F90">
        <w:rPr>
          <w:sz w:val="22"/>
          <w:szCs w:val="22"/>
        </w:rPr>
        <w:t xml:space="preserve"> (Q1 2025 annualized down from earlier highs).</w:t>
      </w:r>
      <w:hyperlink r:id="rId1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notice.10jqka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  <w:r w:rsidRPr="00701F90">
        <w:rPr>
          <w:sz w:val="22"/>
          <w:szCs w:val="22"/>
        </w:rPr>
        <w:br/>
        <w:t>Products serve global textiles, packaging, automotive, and industrial customers needing high-performance polyester and chemical inputs. Major strengths are scale, proprietary technologies (15% cost reduction), and international sales footprint. Challenges include high debt, cyclical margins, and industry overcapacity.</w:t>
      </w:r>
      <w:hyperlink r:id="rId1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camaltd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4E4C9D1D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Division Breakdown (2024)</w:t>
      </w:r>
    </w:p>
    <w:p w14:paraId="6C3442F1" w14:textId="77777777" w:rsidR="00081894" w:rsidRPr="00701F90" w:rsidRDefault="00081894" w:rsidP="0008189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Petrochemical</w:t>
      </w:r>
      <w:r w:rsidRPr="00701F90">
        <w:rPr>
          <w:sz w:val="22"/>
          <w:szCs w:val="22"/>
        </w:rPr>
        <w:t>: 65% of sales, gross profit margin ~8%, 60% of group profits</w:t>
      </w:r>
      <w:hyperlink r:id="rId1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BF8F67D" w14:textId="77777777" w:rsidR="00081894" w:rsidRPr="00701F90" w:rsidRDefault="00081894" w:rsidP="0008189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Polyester</w:t>
      </w:r>
      <w:r w:rsidRPr="00701F90">
        <w:rPr>
          <w:sz w:val="22"/>
          <w:szCs w:val="22"/>
        </w:rPr>
        <w:t>: 30% of sales, gross profit margin ~10%, 35% of group profits</w:t>
      </w:r>
      <w:hyperlink r:id="rId1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qxb-pdf-osscache.qixin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0914D249" w14:textId="77777777" w:rsidR="00081894" w:rsidRPr="00701F90" w:rsidRDefault="00081894" w:rsidP="0008189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Other/Headquarters</w:t>
      </w:r>
      <w:r w:rsidRPr="00701F90">
        <w:rPr>
          <w:sz w:val="22"/>
          <w:szCs w:val="22"/>
        </w:rPr>
        <w:t>: &lt;5% of sales</w:t>
      </w:r>
    </w:p>
    <w:p w14:paraId="7ED3E8D2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6100BD29">
          <v:rect id="_x0000_i1026" style="width:0;height:1.5pt" o:hralign="center" o:hrstd="t" o:hr="t" fillcolor="#a0a0a0" stroked="f"/>
        </w:pict>
      </w:r>
    </w:p>
    <w:p w14:paraId="2297CA3C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Business Performance</w:t>
      </w:r>
    </w:p>
    <w:p w14:paraId="343622B5" w14:textId="77777777" w:rsidR="00081894" w:rsidRPr="00701F90" w:rsidRDefault="00081894" w:rsidP="0008189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Sales Growth (5-year CAGR):</w:t>
      </w:r>
      <w:r w:rsidRPr="00701F90">
        <w:rPr>
          <w:sz w:val="22"/>
          <w:szCs w:val="22"/>
        </w:rPr>
        <w:t xml:space="preserve"> ~12%, but 2025 YTD faces margin pressure</w:t>
      </w:r>
      <w:hyperlink r:id="rId15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BDE5B77" w14:textId="77777777" w:rsidR="00081894" w:rsidRPr="00701F90" w:rsidRDefault="00081894" w:rsidP="0008189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Profit Growth (5-year)</w:t>
      </w:r>
      <w:r w:rsidRPr="00701F90">
        <w:rPr>
          <w:sz w:val="22"/>
          <w:szCs w:val="22"/>
        </w:rPr>
        <w:t xml:space="preserve">: Net profit peaked in 2022, </w:t>
      </w:r>
      <w:r w:rsidRPr="00701F90">
        <w:rPr>
          <w:rStyle w:val="Strong"/>
          <w:rFonts w:eastAsiaTheme="majorEastAsia"/>
          <w:sz w:val="22"/>
          <w:szCs w:val="22"/>
        </w:rPr>
        <w:t>down 24% YTD Q1/Q2 2025</w:t>
      </w:r>
      <w:hyperlink r:id="rId1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C679250" w14:textId="77777777" w:rsidR="00081894" w:rsidRPr="00701F90" w:rsidRDefault="00081894" w:rsidP="0008189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Operating Cash Flow</w:t>
      </w:r>
      <w:r w:rsidRPr="00701F90">
        <w:rPr>
          <w:sz w:val="22"/>
          <w:szCs w:val="22"/>
        </w:rPr>
        <w:t xml:space="preserve">: 2024 CNY 22.73B (stable), but levered free cash flow </w:t>
      </w:r>
      <w:proofErr w:type="spellStart"/>
      <w:r w:rsidRPr="00701F90">
        <w:rPr>
          <w:sz w:val="22"/>
          <w:szCs w:val="22"/>
        </w:rPr>
        <w:t>negative</w:t>
      </w:r>
      <w:hyperlink r:id="rId1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6C64D5BC" w14:textId="77777777" w:rsidR="00081894" w:rsidRPr="00701F90" w:rsidRDefault="00081894" w:rsidP="0008189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Market Share</w:t>
      </w:r>
      <w:r w:rsidRPr="00701F90">
        <w:rPr>
          <w:sz w:val="22"/>
          <w:szCs w:val="22"/>
        </w:rPr>
        <w:t>: Top 3 in global PTA, top 5 polyester producer worldwide</w:t>
      </w:r>
      <w:hyperlink r:id="rId1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36882DB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7465B24C">
          <v:rect id="_x0000_i1027" style="width:0;height:1.5pt" o:hralign="center" o:hrstd="t" o:hr="t" fillcolor="#a0a0a0" stroked="f"/>
        </w:pict>
      </w:r>
    </w:p>
    <w:p w14:paraId="0B710B9D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lastRenderedPageBreak/>
        <w:t>Industry Context</w:t>
      </w:r>
    </w:p>
    <w:p w14:paraId="0AD749D9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Petrochemical/Polyester Sector</w:t>
      </w:r>
    </w:p>
    <w:p w14:paraId="0038CC13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Product Cycle Maturity</w:t>
      </w:r>
      <w:r w:rsidRPr="00701F90">
        <w:rPr>
          <w:sz w:val="22"/>
          <w:szCs w:val="22"/>
        </w:rPr>
        <w:t>: Mature, moderate technological innovation phase</w:t>
      </w:r>
      <w:hyperlink r:id="rId1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ccfgroup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DF997E5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Market Size (China PTA)</w:t>
      </w:r>
      <w:r w:rsidRPr="00701F90">
        <w:rPr>
          <w:sz w:val="22"/>
          <w:szCs w:val="22"/>
        </w:rPr>
        <w:t>: &gt;72% global capacity; CAGR 5% through 2025</w:t>
      </w:r>
      <w:hyperlink r:id="rId2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</w:hyperlink>
    </w:p>
    <w:p w14:paraId="0B44FF5E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Hengli Market Share</w:t>
      </w:r>
      <w:r w:rsidRPr="00701F90">
        <w:rPr>
          <w:sz w:val="22"/>
          <w:szCs w:val="22"/>
        </w:rPr>
        <w:t>: ~10–15% in China, ~5% global polyester</w:t>
      </w:r>
      <w:hyperlink r:id="rId2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1056C79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Sales vs. Industry Growth (3-year)</w:t>
      </w:r>
      <w:r w:rsidRPr="00701F90">
        <w:rPr>
          <w:sz w:val="22"/>
          <w:szCs w:val="22"/>
        </w:rPr>
        <w:t>: Company: ~6%, Industry: ~4%</w:t>
      </w:r>
      <w:hyperlink r:id="rId2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notice.10jqka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81F480D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EPS Growth (3-year)</w:t>
      </w:r>
      <w:r w:rsidRPr="00701F90">
        <w:rPr>
          <w:sz w:val="22"/>
          <w:szCs w:val="22"/>
        </w:rPr>
        <w:t>: Company: ~3%, Industry: ~2%</w:t>
      </w:r>
      <w:hyperlink r:id="rId2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notice.10jqka</w:t>
        </w:r>
      </w:hyperlink>
    </w:p>
    <w:p w14:paraId="631C22B7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Debt/Total Assets</w:t>
      </w:r>
      <w:r w:rsidRPr="00701F90">
        <w:rPr>
          <w:sz w:val="22"/>
          <w:szCs w:val="22"/>
        </w:rPr>
        <w:t>: Company: ~63% (2025); Industry average: ~45%</w:t>
      </w:r>
      <w:hyperlink r:id="rId2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tradingeconomics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496CBA65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Cycle Stage</w:t>
      </w:r>
      <w:r w:rsidRPr="00701F90">
        <w:rPr>
          <w:sz w:val="22"/>
          <w:szCs w:val="22"/>
        </w:rPr>
        <w:t>: Late expansion/early slowdown, margin pressure from overcapacity</w:t>
      </w:r>
      <w:hyperlink r:id="rId25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ccfgroup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B378E74" w14:textId="77777777" w:rsidR="00081894" w:rsidRPr="00701F90" w:rsidRDefault="00081894" w:rsidP="0008189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Industry Metrics</w:t>
      </w:r>
      <w:r w:rsidRPr="00701F90">
        <w:rPr>
          <w:sz w:val="22"/>
          <w:szCs w:val="22"/>
        </w:rPr>
        <w:t>:</w:t>
      </w:r>
    </w:p>
    <w:p w14:paraId="4D60E935" w14:textId="77777777" w:rsidR="00081894" w:rsidRPr="00701F90" w:rsidRDefault="00081894" w:rsidP="0008189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PTA Capacity Utilization: Hengli ~90%, Industry </w:t>
      </w:r>
      <w:proofErr w:type="spellStart"/>
      <w:r w:rsidRPr="00701F90">
        <w:rPr>
          <w:sz w:val="22"/>
          <w:szCs w:val="22"/>
        </w:rPr>
        <w:t>avg</w:t>
      </w:r>
      <w:proofErr w:type="spellEnd"/>
      <w:r w:rsidRPr="00701F90">
        <w:rPr>
          <w:sz w:val="22"/>
          <w:szCs w:val="22"/>
        </w:rPr>
        <w:t xml:space="preserve"> ~85%</w:t>
      </w:r>
      <w:hyperlink r:id="rId2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</w:hyperlink>
    </w:p>
    <w:p w14:paraId="19DF73D8" w14:textId="77777777" w:rsidR="00081894" w:rsidRPr="00701F90" w:rsidRDefault="00081894" w:rsidP="0008189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Export share: Hengli ~30%, Industry </w:t>
      </w:r>
      <w:proofErr w:type="spellStart"/>
      <w:r w:rsidRPr="00701F90">
        <w:rPr>
          <w:sz w:val="22"/>
          <w:szCs w:val="22"/>
        </w:rPr>
        <w:t>avg</w:t>
      </w:r>
      <w:proofErr w:type="spellEnd"/>
      <w:r w:rsidRPr="00701F90">
        <w:rPr>
          <w:sz w:val="22"/>
          <w:szCs w:val="22"/>
        </w:rPr>
        <w:t xml:space="preserve"> 20%</w:t>
      </w:r>
      <w:hyperlink r:id="rId2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C6BD3ED" w14:textId="77777777" w:rsidR="00081894" w:rsidRPr="00701F90" w:rsidRDefault="00081894" w:rsidP="0008189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R&amp;D Spend (% of Revenue): Hengli 2%, Industry </w:t>
      </w:r>
      <w:proofErr w:type="spellStart"/>
      <w:r w:rsidRPr="00701F90">
        <w:rPr>
          <w:sz w:val="22"/>
          <w:szCs w:val="22"/>
        </w:rPr>
        <w:t>avg</w:t>
      </w:r>
      <w:proofErr w:type="spellEnd"/>
      <w:r w:rsidRPr="00701F90">
        <w:rPr>
          <w:sz w:val="22"/>
          <w:szCs w:val="22"/>
        </w:rPr>
        <w:t xml:space="preserve"> &lt;1%</w:t>
      </w:r>
      <w:hyperlink r:id="rId2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FADF640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7C75F6BB">
          <v:rect id="_x0000_i1028" style="width:0;height:1.5pt" o:hralign="center" o:hrstd="t" o:hr="t" fillcolor="#a0a0a0" stroked="f"/>
        </w:pict>
      </w:r>
    </w:p>
    <w:p w14:paraId="0FCCD636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Financial Stability and Debt Levels</w:t>
      </w:r>
    </w:p>
    <w:p w14:paraId="40428ABE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High operating cash flow, but </w:t>
      </w:r>
      <w:r w:rsidRPr="00701F90">
        <w:rPr>
          <w:rStyle w:val="Strong"/>
          <w:rFonts w:eastAsiaTheme="majorEastAsia"/>
          <w:sz w:val="22"/>
          <w:szCs w:val="22"/>
        </w:rPr>
        <w:t>current ratio hovers at ~1.15–1.25</w:t>
      </w:r>
      <w:r w:rsidRPr="00701F90">
        <w:rPr>
          <w:sz w:val="22"/>
          <w:szCs w:val="22"/>
        </w:rPr>
        <w:t>, below healthy 1.3 threshold.</w:t>
      </w:r>
      <w:hyperlink r:id="rId2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3D16C8B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Debt levels are elevated</w:t>
      </w:r>
      <w:r w:rsidRPr="00701F90">
        <w:rPr>
          <w:sz w:val="22"/>
          <w:szCs w:val="22"/>
        </w:rPr>
        <w:t>: CNY 166.3 billion in total debt (2025), debt-to-equity over 260%.</w:t>
      </w:r>
      <w:hyperlink r:id="rId3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43E0250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Interest coverage declining, with interest expenses exceeding net income in recent </w:t>
      </w:r>
      <w:proofErr w:type="spellStart"/>
      <w:r w:rsidRPr="00701F90">
        <w:rPr>
          <w:sz w:val="22"/>
          <w:szCs w:val="22"/>
        </w:rPr>
        <w:t>quarters.</w:t>
      </w:r>
      <w:hyperlink r:id="rId3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79EB8D87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Altman Z Score not explicitly disclosed, but risk metrics and ESG rating place it mid-field in chemicals </w:t>
      </w:r>
      <w:proofErr w:type="spellStart"/>
      <w:r w:rsidRPr="00701F90">
        <w:rPr>
          <w:sz w:val="22"/>
          <w:szCs w:val="22"/>
        </w:rPr>
        <w:t>industry.</w:t>
      </w:r>
      <w:hyperlink r:id="rId3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proofErr w:type="spellEnd"/>
      </w:hyperlink>
    </w:p>
    <w:p w14:paraId="5CA16568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Dividend yield ~6.5%, but coverage threatened by cash flow </w:t>
      </w:r>
      <w:proofErr w:type="spellStart"/>
      <w:r w:rsidRPr="00701F90">
        <w:rPr>
          <w:sz w:val="22"/>
          <w:szCs w:val="22"/>
        </w:rPr>
        <w:t>constraints.</w:t>
      </w:r>
      <w:hyperlink r:id="rId3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36BC403E" w14:textId="77777777" w:rsidR="00081894" w:rsidRPr="00701F90" w:rsidRDefault="00081894" w:rsidP="0008189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701F90">
        <w:rPr>
          <w:sz w:val="22"/>
          <w:szCs w:val="22"/>
        </w:rPr>
        <w:t>Capex remains aggressive, potentially constrained by financial leverage.</w:t>
      </w:r>
      <w:hyperlink r:id="rId3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EF94EDB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54875E24">
          <v:rect id="_x0000_i1029" style="width:0;height:1.5pt" o:hralign="center" o:hrstd="t" o:hr="t" fillcolor="#a0a0a0" stroked="f"/>
        </w:pict>
      </w:r>
    </w:p>
    <w:p w14:paraId="6D531A92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Key Financials and Valuation</w:t>
      </w:r>
    </w:p>
    <w:p w14:paraId="282F4C5A" w14:textId="77777777" w:rsidR="00081894" w:rsidRPr="00701F90" w:rsidRDefault="00081894" w:rsidP="0008189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FY 2024 Sales</w:t>
      </w:r>
      <w:r w:rsidRPr="00701F90">
        <w:rPr>
          <w:sz w:val="22"/>
          <w:szCs w:val="22"/>
        </w:rPr>
        <w:t>: CNY 236.4B; Net Profit CNY 7.04B (YoY -18%)</w:t>
      </w:r>
      <w:hyperlink r:id="rId35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990CF2B" w14:textId="77777777" w:rsidR="00081894" w:rsidRPr="00701F90" w:rsidRDefault="00081894" w:rsidP="0008189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Operating Margin</w:t>
      </w:r>
      <w:r w:rsidRPr="00701F90">
        <w:rPr>
          <w:sz w:val="22"/>
          <w:szCs w:val="22"/>
        </w:rPr>
        <w:t>: Declining, Q1 2025 gross profit margin 7.75%</w:t>
      </w:r>
      <w:hyperlink r:id="rId3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</w:hyperlink>
    </w:p>
    <w:p w14:paraId="0368807D" w14:textId="77777777" w:rsidR="00081894" w:rsidRPr="00701F90" w:rsidRDefault="00081894" w:rsidP="0008189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Valuation</w:t>
      </w:r>
      <w:r w:rsidRPr="00701F90">
        <w:rPr>
          <w:sz w:val="22"/>
          <w:szCs w:val="22"/>
        </w:rPr>
        <w:t>:</w:t>
      </w:r>
    </w:p>
    <w:p w14:paraId="5B15E30C" w14:textId="77777777" w:rsidR="00081894" w:rsidRPr="00701F90" w:rsidRDefault="00081894" w:rsidP="00081894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P/E (TTM):</w:t>
      </w:r>
      <w:r w:rsidRPr="00701F90">
        <w:rPr>
          <w:sz w:val="22"/>
          <w:szCs w:val="22"/>
        </w:rPr>
        <w:t xml:space="preserve"> ~10.5; Industry </w:t>
      </w:r>
      <w:proofErr w:type="spellStart"/>
      <w:r w:rsidRPr="00701F90">
        <w:rPr>
          <w:sz w:val="22"/>
          <w:szCs w:val="22"/>
        </w:rPr>
        <w:t>avg</w:t>
      </w:r>
      <w:proofErr w:type="spellEnd"/>
      <w:r w:rsidRPr="00701F90">
        <w:rPr>
          <w:sz w:val="22"/>
          <w:szCs w:val="22"/>
        </w:rPr>
        <w:t>: ~12</w:t>
      </w:r>
      <w:hyperlink r:id="rId3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1B42091" w14:textId="77777777" w:rsidR="00081894" w:rsidRPr="00701F90" w:rsidRDefault="00081894" w:rsidP="00081894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PEG:</w:t>
      </w:r>
      <w:r w:rsidRPr="00701F90">
        <w:rPr>
          <w:sz w:val="22"/>
          <w:szCs w:val="22"/>
        </w:rPr>
        <w:t xml:space="preserve"> ~1.3; Industry </w:t>
      </w:r>
      <w:proofErr w:type="spellStart"/>
      <w:r w:rsidRPr="00701F90">
        <w:rPr>
          <w:sz w:val="22"/>
          <w:szCs w:val="22"/>
        </w:rPr>
        <w:t>avg</w:t>
      </w:r>
      <w:proofErr w:type="spellEnd"/>
      <w:r w:rsidRPr="00701F90">
        <w:rPr>
          <w:sz w:val="22"/>
          <w:szCs w:val="22"/>
        </w:rPr>
        <w:t>: ~1</w:t>
      </w:r>
      <w:hyperlink r:id="rId3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26525962" w14:textId="77777777" w:rsidR="00081894" w:rsidRPr="00701F90" w:rsidRDefault="00081894" w:rsidP="00081894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Dividend Yield:</w:t>
      </w:r>
      <w:r w:rsidRPr="00701F90">
        <w:rPr>
          <w:sz w:val="22"/>
          <w:szCs w:val="22"/>
        </w:rPr>
        <w:t xml:space="preserve"> 6.5%</w:t>
      </w:r>
      <w:hyperlink r:id="rId3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03BBE12" w14:textId="77777777" w:rsidR="00081894" w:rsidRPr="00701F90" w:rsidRDefault="00081894" w:rsidP="00081894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Position in 52-week range:</w:t>
      </w:r>
      <w:r w:rsidRPr="00701F90">
        <w:rPr>
          <w:sz w:val="22"/>
          <w:szCs w:val="22"/>
        </w:rPr>
        <w:t xml:space="preserve"> Lower half</w:t>
      </w:r>
    </w:p>
    <w:p w14:paraId="4EF79E97" w14:textId="77777777" w:rsidR="00081894" w:rsidRPr="00701F90" w:rsidRDefault="00081894" w:rsidP="0008189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Industry metrics</w:t>
      </w:r>
      <w:r w:rsidRPr="00701F90">
        <w:rPr>
          <w:sz w:val="22"/>
          <w:szCs w:val="22"/>
        </w:rPr>
        <w:t>: Capacity utilization, export share, R&amp;D intensity—Hengli scores above industry average on technology but below on leverage.</w:t>
      </w:r>
      <w:hyperlink r:id="rId4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0C8BEFD5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68336ECE">
          <v:rect id="_x0000_i1030" style="width:0;height:1.5pt" o:hralign="center" o:hrstd="t" o:hr="t" fillcolor="#a0a0a0" stroked="f"/>
        </w:pict>
      </w:r>
    </w:p>
    <w:p w14:paraId="6F7C8436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Big Trends and Events</w:t>
      </w:r>
    </w:p>
    <w:p w14:paraId="16E8F08C" w14:textId="77777777" w:rsidR="00081894" w:rsidRPr="00701F90" w:rsidRDefault="00081894" w:rsidP="0008189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701F90">
        <w:rPr>
          <w:sz w:val="22"/>
          <w:szCs w:val="22"/>
        </w:rPr>
        <w:t>Global oversupply and China’s PTA overcapacity strain margins.</w:t>
      </w:r>
      <w:hyperlink r:id="rId4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ccfgroup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160F81D" w14:textId="77777777" w:rsidR="00081894" w:rsidRPr="00701F90" w:rsidRDefault="00081894" w:rsidP="0008189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Environmental regulations (carbon reduction, recycling mandates) drive technology investments, </w:t>
      </w:r>
      <w:proofErr w:type="spellStart"/>
      <w:r w:rsidRPr="00701F90">
        <w:rPr>
          <w:sz w:val="22"/>
          <w:szCs w:val="22"/>
        </w:rPr>
        <w:t>favoring</w:t>
      </w:r>
      <w:proofErr w:type="spellEnd"/>
      <w:r w:rsidRPr="00701F90">
        <w:rPr>
          <w:sz w:val="22"/>
          <w:szCs w:val="22"/>
        </w:rPr>
        <w:t xml:space="preserve"> cost leaders.</w:t>
      </w:r>
      <w:hyperlink r:id="rId4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01B2E6E" w14:textId="77777777" w:rsidR="00081894" w:rsidRPr="00701F90" w:rsidRDefault="00081894" w:rsidP="0008189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701F90">
        <w:rPr>
          <w:sz w:val="22"/>
          <w:szCs w:val="22"/>
        </w:rPr>
        <w:lastRenderedPageBreak/>
        <w:t>Competition rising from new entrants and international players diversifying into bio-based polymers.</w:t>
      </w:r>
      <w:hyperlink r:id="rId4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DD0E6CA" w14:textId="77777777" w:rsidR="00081894" w:rsidRPr="00701F90" w:rsidRDefault="00081894" w:rsidP="0008189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701F90">
        <w:rPr>
          <w:sz w:val="22"/>
          <w:szCs w:val="22"/>
        </w:rPr>
        <w:t>Hengli’s pivot to maritime fuel/bunkering and specialty polymers may support future growth.</w:t>
      </w:r>
      <w:hyperlink r:id="rId4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2329488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182ECBFA">
          <v:rect id="_x0000_i1031" style="width:0;height:1.5pt" o:hralign="center" o:hrstd="t" o:hr="t" fillcolor="#a0a0a0" stroked="f"/>
        </w:pict>
      </w:r>
    </w:p>
    <w:p w14:paraId="2978FBE0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Customer Segments and Demand Trends</w:t>
      </w:r>
    </w:p>
    <w:p w14:paraId="21638B61" w14:textId="77777777" w:rsidR="00081894" w:rsidRPr="00701F90" w:rsidRDefault="00081894" w:rsidP="0008189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Major segments:</w:t>
      </w:r>
      <w:r w:rsidRPr="00701F90">
        <w:rPr>
          <w:sz w:val="22"/>
          <w:szCs w:val="22"/>
        </w:rPr>
        <w:t xml:space="preserve"> Textiles/garments (~45%); packaging (~30%); automotive (~10%)</w:t>
      </w:r>
      <w:hyperlink r:id="rId45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2E6DB43" w14:textId="77777777" w:rsidR="00081894" w:rsidRPr="00701F90" w:rsidRDefault="00081894" w:rsidP="0008189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Sales growth (forecast next 2–3y):</w:t>
      </w:r>
      <w:r w:rsidRPr="00701F90">
        <w:rPr>
          <w:sz w:val="22"/>
          <w:szCs w:val="22"/>
        </w:rPr>
        <w:t xml:space="preserve"> Textiles ~4%, packaging ~6%, automotive ~8%</w:t>
      </w:r>
      <w:hyperlink r:id="rId4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</w:hyperlink>
    </w:p>
    <w:p w14:paraId="6D7656B4" w14:textId="77777777" w:rsidR="00081894" w:rsidRPr="00701F90" w:rsidRDefault="00081894" w:rsidP="0008189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Key drivers:</w:t>
      </w:r>
      <w:r w:rsidRPr="00701F90">
        <w:rPr>
          <w:sz w:val="22"/>
          <w:szCs w:val="22"/>
        </w:rPr>
        <w:t xml:space="preserve"> Sustainability (</w:t>
      </w:r>
      <w:proofErr w:type="spellStart"/>
      <w:r w:rsidRPr="00701F90">
        <w:rPr>
          <w:sz w:val="22"/>
          <w:szCs w:val="22"/>
        </w:rPr>
        <w:t>rPET</w:t>
      </w:r>
      <w:proofErr w:type="spellEnd"/>
      <w:r w:rsidRPr="00701F90">
        <w:rPr>
          <w:sz w:val="22"/>
          <w:szCs w:val="22"/>
        </w:rPr>
        <w:t xml:space="preserve"> demand), lightweighting, specialty grades.</w:t>
      </w:r>
    </w:p>
    <w:p w14:paraId="6FE92E87" w14:textId="77777777" w:rsidR="00081894" w:rsidRPr="00701F90" w:rsidRDefault="00081894" w:rsidP="0008189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Criticisms:</w:t>
      </w:r>
      <w:r w:rsidRPr="00701F90">
        <w:rPr>
          <w:sz w:val="22"/>
          <w:szCs w:val="22"/>
        </w:rPr>
        <w:t xml:space="preserve"> Price sensitivity, cyclical volatility, risk of substitutes (bio-based, recycled polymers), switching speed moderate.</w:t>
      </w:r>
    </w:p>
    <w:p w14:paraId="5FAADA9E" w14:textId="77777777" w:rsidR="00081894" w:rsidRPr="00701F90" w:rsidRDefault="00081894" w:rsidP="0008189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Substitutes:</w:t>
      </w:r>
      <w:r w:rsidRPr="00701F90">
        <w:rPr>
          <w:sz w:val="22"/>
          <w:szCs w:val="22"/>
        </w:rPr>
        <w:t xml:space="preserve"> </w:t>
      </w:r>
      <w:proofErr w:type="spellStart"/>
      <w:r w:rsidRPr="00701F90">
        <w:rPr>
          <w:sz w:val="22"/>
          <w:szCs w:val="22"/>
        </w:rPr>
        <w:t>rPET</w:t>
      </w:r>
      <w:proofErr w:type="spellEnd"/>
      <w:r w:rsidRPr="00701F90">
        <w:rPr>
          <w:sz w:val="22"/>
          <w:szCs w:val="22"/>
        </w:rPr>
        <w:t xml:space="preserve">, bio-based </w:t>
      </w:r>
      <w:proofErr w:type="spellStart"/>
      <w:r w:rsidRPr="00701F90">
        <w:rPr>
          <w:sz w:val="22"/>
          <w:szCs w:val="22"/>
        </w:rPr>
        <w:t>fibers</w:t>
      </w:r>
      <w:proofErr w:type="spellEnd"/>
      <w:r w:rsidRPr="00701F90">
        <w:rPr>
          <w:sz w:val="22"/>
          <w:szCs w:val="22"/>
        </w:rPr>
        <w:t>, alternative chemical inputs (polyolefins).</w:t>
      </w:r>
    </w:p>
    <w:p w14:paraId="3891B6B1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5653E1F4">
          <v:rect id="_x0000_i1032" style="width:0;height:1.5pt" o:hralign="center" o:hrstd="t" o:hr="t" fillcolor="#a0a0a0" stroked="f"/>
        </w:pict>
      </w:r>
    </w:p>
    <w:p w14:paraId="491A6F3B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Competitive Landscape</w:t>
      </w:r>
    </w:p>
    <w:p w14:paraId="1629F67D" w14:textId="77777777" w:rsidR="00081894" w:rsidRPr="00701F90" w:rsidRDefault="00081894" w:rsidP="0008189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Industry Dynamics:</w:t>
      </w:r>
      <w:r w:rsidRPr="00701F90">
        <w:rPr>
          <w:sz w:val="22"/>
          <w:szCs w:val="22"/>
        </w:rPr>
        <w:t xml:space="preserve"> Highly competitive, CR4 ~42%, margins compressing, </w:t>
      </w:r>
      <w:proofErr w:type="gramStart"/>
      <w:r w:rsidRPr="00701F90">
        <w:rPr>
          <w:sz w:val="22"/>
          <w:szCs w:val="22"/>
        </w:rPr>
        <w:t>high capacity</w:t>
      </w:r>
      <w:proofErr w:type="gramEnd"/>
      <w:r w:rsidRPr="00701F90">
        <w:rPr>
          <w:sz w:val="22"/>
          <w:szCs w:val="22"/>
        </w:rPr>
        <w:t xml:space="preserve"> utilization.</w:t>
      </w:r>
      <w:hyperlink r:id="rId4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2E1DAE5" w14:textId="77777777" w:rsidR="00081894" w:rsidRPr="00701F90" w:rsidRDefault="00081894" w:rsidP="0008189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Key Competitors:</w:t>
      </w:r>
      <w:r w:rsidRPr="00701F90">
        <w:rPr>
          <w:sz w:val="22"/>
          <w:szCs w:val="22"/>
        </w:rPr>
        <w:t xml:space="preserve"> </w:t>
      </w:r>
      <w:proofErr w:type="spellStart"/>
      <w:r w:rsidRPr="00701F90">
        <w:rPr>
          <w:sz w:val="22"/>
          <w:szCs w:val="22"/>
        </w:rPr>
        <w:t>Shenghong</w:t>
      </w:r>
      <w:proofErr w:type="spellEnd"/>
      <w:r w:rsidRPr="00701F90">
        <w:rPr>
          <w:sz w:val="22"/>
          <w:szCs w:val="22"/>
        </w:rPr>
        <w:t xml:space="preserve"> Petrochemical (market share ~11%, margins ~11%), Sinopec (~15%, margins ~10%).</w:t>
      </w:r>
      <w:hyperlink r:id="rId4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D9779F5" w14:textId="77777777" w:rsidR="00081894" w:rsidRPr="00701F90" w:rsidRDefault="00081894" w:rsidP="0008189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Moats:</w:t>
      </w:r>
      <w:r w:rsidRPr="00701F90">
        <w:rPr>
          <w:sz w:val="22"/>
          <w:szCs w:val="22"/>
        </w:rPr>
        <w:t xml:space="preserve"> Technology/process efficiency; supply chain integration; scale. Hengli ranks strong on scale/technology, weaker on balance sheet.</w:t>
      </w:r>
      <w:hyperlink r:id="rId4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72E5BA9" w14:textId="77777777" w:rsidR="00081894" w:rsidRPr="00701F90" w:rsidRDefault="00081894" w:rsidP="0008189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Battlefront:</w:t>
      </w:r>
      <w:r w:rsidRPr="00701F90">
        <w:rPr>
          <w:sz w:val="22"/>
          <w:szCs w:val="22"/>
        </w:rPr>
        <w:t xml:space="preserve"> </w:t>
      </w:r>
      <w:r w:rsidRPr="00701F90">
        <w:rPr>
          <w:rStyle w:val="Strong"/>
          <w:rFonts w:eastAsiaTheme="majorEastAsia"/>
          <w:sz w:val="22"/>
          <w:szCs w:val="22"/>
        </w:rPr>
        <w:t>Scale/technology</w:t>
      </w:r>
      <w:r w:rsidRPr="00701F90">
        <w:rPr>
          <w:sz w:val="22"/>
          <w:szCs w:val="22"/>
        </w:rPr>
        <w:t>—Hengli’s cost leadership helps offset margin pressures, but debt constrains flexibility.</w:t>
      </w:r>
      <w:hyperlink r:id="rId5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87F29F4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6B1026F4">
          <v:rect id="_x0000_i1033" style="width:0;height:1.5pt" o:hralign="center" o:hrstd="t" o:hr="t" fillcolor="#a0a0a0" stroked="f"/>
        </w:pict>
      </w:r>
    </w:p>
    <w:p w14:paraId="61793B06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Risks and Anomalies</w:t>
      </w:r>
    </w:p>
    <w:p w14:paraId="02DA36AA" w14:textId="77777777" w:rsidR="00081894" w:rsidRPr="00701F90" w:rsidRDefault="00081894" w:rsidP="0008189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701F90">
        <w:rPr>
          <w:sz w:val="22"/>
          <w:szCs w:val="22"/>
        </w:rPr>
        <w:t>High debt-to-equity, interest expenses outpacing profits, negative free cash flow</w:t>
      </w:r>
      <w:hyperlink r:id="rId5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86FD74D" w14:textId="77777777" w:rsidR="00081894" w:rsidRPr="00701F90" w:rsidRDefault="00081894" w:rsidP="0008189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701F90">
        <w:rPr>
          <w:sz w:val="22"/>
          <w:szCs w:val="22"/>
        </w:rPr>
        <w:t>Income/profit decline 2025 despite stable sales—margin squeeze.</w:t>
      </w:r>
      <w:hyperlink r:id="rId5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5A359A6" w14:textId="77777777" w:rsidR="00081894" w:rsidRPr="00701F90" w:rsidRDefault="00081894" w:rsidP="0008189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701F90">
        <w:rPr>
          <w:sz w:val="22"/>
          <w:szCs w:val="22"/>
        </w:rPr>
        <w:t>Exposure to commodity cycles, overcapacity, regulatory changes.</w:t>
      </w:r>
    </w:p>
    <w:p w14:paraId="26B31A60" w14:textId="77777777" w:rsidR="00081894" w:rsidRPr="00701F90" w:rsidRDefault="00081894" w:rsidP="0008189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701F90">
        <w:rPr>
          <w:sz w:val="22"/>
          <w:szCs w:val="22"/>
        </w:rPr>
        <w:t>Strategic expansion risks if capital becomes tighter.</w:t>
      </w:r>
    </w:p>
    <w:p w14:paraId="4007A0B4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65B34C42">
          <v:rect id="_x0000_i1034" style="width:0;height:1.5pt" o:hralign="center" o:hrstd="t" o:hr="t" fillcolor="#a0a0a0" stroked="f"/>
        </w:pict>
      </w:r>
    </w:p>
    <w:p w14:paraId="7FACEC55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Forecast and Outlook</w:t>
      </w:r>
    </w:p>
    <w:p w14:paraId="27F37C01" w14:textId="77777777" w:rsidR="00081894" w:rsidRPr="00701F90" w:rsidRDefault="00081894" w:rsidP="0008189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Management guides flat to moderate sales growth (1–3%)</w:t>
      </w:r>
      <w:r w:rsidRPr="00701F90">
        <w:rPr>
          <w:sz w:val="22"/>
          <w:szCs w:val="22"/>
        </w:rPr>
        <w:t>, margin pressure likely to persist.</w:t>
      </w:r>
      <w:hyperlink r:id="rId5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cbonds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2E90768" w14:textId="77777777" w:rsidR="00081894" w:rsidRPr="00701F90" w:rsidRDefault="00081894" w:rsidP="0008189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EPS 2025 forecast:</w:t>
      </w:r>
      <w:r w:rsidRPr="00701F90">
        <w:rPr>
          <w:sz w:val="22"/>
          <w:szCs w:val="22"/>
        </w:rPr>
        <w:t xml:space="preserve"> ~CNY 1.15 (down YoY)</w:t>
      </w:r>
    </w:p>
    <w:p w14:paraId="00CE00D8" w14:textId="77777777" w:rsidR="00081894" w:rsidRPr="00701F90" w:rsidRDefault="00081894" w:rsidP="0008189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701F90">
        <w:rPr>
          <w:sz w:val="22"/>
          <w:szCs w:val="22"/>
        </w:rPr>
        <w:t>Earnings surprise: Lower-than-expected profit Q1/Q2 2025 due to margin compression.</w:t>
      </w:r>
      <w:hyperlink r:id="rId5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A030CB2" w14:textId="77777777" w:rsidR="00081894" w:rsidRPr="00701F90" w:rsidRDefault="00081894" w:rsidP="0008189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Growth areas: Specialty polymers, </w:t>
      </w:r>
      <w:proofErr w:type="spellStart"/>
      <w:r w:rsidRPr="00701F90">
        <w:rPr>
          <w:sz w:val="22"/>
          <w:szCs w:val="22"/>
        </w:rPr>
        <w:t>rPET</w:t>
      </w:r>
      <w:proofErr w:type="spellEnd"/>
      <w:r w:rsidRPr="00701F90">
        <w:rPr>
          <w:sz w:val="22"/>
          <w:szCs w:val="22"/>
        </w:rPr>
        <w:t>, marine fuels.</w:t>
      </w:r>
    </w:p>
    <w:p w14:paraId="620B0BA3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2A81764A">
          <v:rect id="_x0000_i1035" style="width:0;height:1.5pt" o:hralign="center" o:hrstd="t" o:hr="t" fillcolor="#a0a0a0" stroked="f"/>
        </w:pict>
      </w:r>
    </w:p>
    <w:p w14:paraId="5CCA6513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lastRenderedPageBreak/>
        <w:t>Leading Investment Firms and Views</w:t>
      </w:r>
    </w:p>
    <w:p w14:paraId="5B946337" w14:textId="77777777" w:rsidR="00081894" w:rsidRPr="00701F90" w:rsidRDefault="00081894" w:rsidP="0008189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Analyst consensus:</w:t>
      </w:r>
      <w:r w:rsidRPr="00701F90">
        <w:rPr>
          <w:sz w:val="22"/>
          <w:szCs w:val="22"/>
        </w:rPr>
        <w:t xml:space="preserve"> </w:t>
      </w:r>
      <w:r w:rsidRPr="00701F90">
        <w:rPr>
          <w:rStyle w:val="Strong"/>
          <w:rFonts w:eastAsiaTheme="majorEastAsia"/>
          <w:sz w:val="22"/>
          <w:szCs w:val="22"/>
        </w:rPr>
        <w:t>Hold</w:t>
      </w:r>
    </w:p>
    <w:p w14:paraId="66AF2299" w14:textId="77777777" w:rsidR="00081894" w:rsidRPr="00701F90" w:rsidRDefault="00081894" w:rsidP="0008189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Average target price:</w:t>
      </w:r>
      <w:r w:rsidRPr="00701F90">
        <w:rPr>
          <w:sz w:val="22"/>
          <w:szCs w:val="22"/>
        </w:rPr>
        <w:t xml:space="preserve"> CNY 18.5 (range CNY 15–20)</w:t>
      </w:r>
      <w:hyperlink r:id="rId55" w:tgtFrame="_blank" w:history="1">
        <w:proofErr w:type="gramStart"/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7CF3DD1" w14:textId="77777777" w:rsidR="00081894" w:rsidRPr="00701F90" w:rsidRDefault="00081894" w:rsidP="0008189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Goldman Sachs/Morgan Stanley:</w:t>
      </w:r>
      <w:r w:rsidRPr="00701F90">
        <w:rPr>
          <w:sz w:val="22"/>
          <w:szCs w:val="22"/>
        </w:rPr>
        <w:t xml:space="preserve"> “Neutral/Hold”; concern about debt and margin</w:t>
      </w:r>
      <w:hyperlink r:id="rId5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bloomberg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4836CE5" w14:textId="77777777" w:rsidR="00081894" w:rsidRPr="00701F90" w:rsidRDefault="00081894" w:rsidP="0008189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ESG &amp; Institutional:</w:t>
      </w:r>
      <w:r w:rsidRPr="00701F90">
        <w:rPr>
          <w:sz w:val="22"/>
          <w:szCs w:val="22"/>
        </w:rPr>
        <w:t xml:space="preserve"> Mid-field; high yield attractive but flagged </w:t>
      </w:r>
      <w:proofErr w:type="spellStart"/>
      <w:r w:rsidRPr="00701F90">
        <w:rPr>
          <w:sz w:val="22"/>
          <w:szCs w:val="22"/>
        </w:rPr>
        <w:t>risks</w:t>
      </w:r>
      <w:hyperlink r:id="rId57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proofErr w:type="spellEnd"/>
      </w:hyperlink>
    </w:p>
    <w:p w14:paraId="10F54B3C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43A3C774">
          <v:rect id="_x0000_i1036" style="width:0;height:1.5pt" o:hralign="center" o:hrstd="t" o:hr="t" fillcolor="#a0a0a0" stroked="f"/>
        </w:pict>
      </w:r>
    </w:p>
    <w:p w14:paraId="2D53FF8F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Recommended Action: Hold</w:t>
      </w:r>
    </w:p>
    <w:p w14:paraId="0A7FE4B9" w14:textId="77777777" w:rsidR="00081894" w:rsidRPr="00701F90" w:rsidRDefault="00081894" w:rsidP="00081894">
      <w:pPr>
        <w:pStyle w:val="my-2"/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Pros:</w:t>
      </w:r>
    </w:p>
    <w:p w14:paraId="67764387" w14:textId="77777777" w:rsidR="00081894" w:rsidRPr="00701F90" w:rsidRDefault="00081894" w:rsidP="0008189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701F90">
        <w:rPr>
          <w:sz w:val="22"/>
          <w:szCs w:val="22"/>
        </w:rPr>
        <w:t>Strong cash-generative operations and global scale</w:t>
      </w:r>
      <w:hyperlink r:id="rId58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notice.10jqka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F098655" w14:textId="77777777" w:rsidR="00081894" w:rsidRPr="00701F90" w:rsidRDefault="00081894" w:rsidP="0008189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701F90">
        <w:rPr>
          <w:sz w:val="22"/>
          <w:szCs w:val="22"/>
        </w:rPr>
        <w:t>Technology/process leadership; above-average R&amp;D</w:t>
      </w:r>
      <w:hyperlink r:id="rId59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B73411E" w14:textId="77777777" w:rsidR="00081894" w:rsidRPr="00701F90" w:rsidRDefault="00081894" w:rsidP="0008189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701F90">
        <w:rPr>
          <w:sz w:val="22"/>
          <w:szCs w:val="22"/>
        </w:rPr>
        <w:t>Attractive dividend, well-positioned for future specialty segment growth</w:t>
      </w:r>
      <w:hyperlink r:id="rId6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F961EB9" w14:textId="77777777" w:rsidR="00081894" w:rsidRPr="00701F90" w:rsidRDefault="00081894" w:rsidP="00081894">
      <w:pPr>
        <w:pStyle w:val="my-2"/>
        <w:rPr>
          <w:sz w:val="22"/>
          <w:szCs w:val="22"/>
        </w:rPr>
      </w:pPr>
      <w:r w:rsidRPr="00701F90">
        <w:rPr>
          <w:rStyle w:val="Strong"/>
          <w:rFonts w:eastAsiaTheme="majorEastAsia"/>
          <w:sz w:val="22"/>
          <w:szCs w:val="22"/>
        </w:rPr>
        <w:t>Cons:</w:t>
      </w:r>
    </w:p>
    <w:p w14:paraId="7D257EBD" w14:textId="77777777" w:rsidR="00081894" w:rsidRPr="00701F90" w:rsidRDefault="00081894" w:rsidP="0008189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701F90">
        <w:rPr>
          <w:sz w:val="22"/>
          <w:szCs w:val="22"/>
        </w:rPr>
        <w:t>High leverage and liquidity stress</w:t>
      </w:r>
      <w:hyperlink r:id="rId61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27C0934" w14:textId="77777777" w:rsidR="00081894" w:rsidRPr="00701F90" w:rsidRDefault="00081894" w:rsidP="0008189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Margin erosion, interest coverage </w:t>
      </w:r>
      <w:proofErr w:type="spellStart"/>
      <w:r w:rsidRPr="00701F90">
        <w:rPr>
          <w:sz w:val="22"/>
          <w:szCs w:val="22"/>
        </w:rPr>
        <w:t>risk</w:t>
      </w:r>
      <w:hyperlink r:id="rId6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0B79E324" w14:textId="77777777" w:rsidR="00081894" w:rsidRPr="00701F90" w:rsidRDefault="00081894" w:rsidP="0008189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701F90">
        <w:rPr>
          <w:sz w:val="22"/>
          <w:szCs w:val="22"/>
        </w:rPr>
        <w:t>Overcapacity in industry, cyclicality, and substitution threats</w:t>
      </w:r>
      <w:hyperlink r:id="rId6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ccfgroup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0B87FC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7D278D6C">
          <v:rect id="_x0000_i1037" style="width:0;height:1.5pt" o:hralign="center" o:hrstd="t" o:hr="t" fillcolor="#a0a0a0" stroked="f"/>
        </w:pict>
      </w:r>
    </w:p>
    <w:p w14:paraId="7B6CB951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261"/>
        <w:gridCol w:w="2261"/>
        <w:gridCol w:w="845"/>
        <w:gridCol w:w="1414"/>
      </w:tblGrid>
      <w:tr w:rsidR="00081894" w:rsidRPr="00701F90" w14:paraId="0A036C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E5269" w14:textId="77777777" w:rsidR="00081894" w:rsidRPr="00701F90" w:rsidRDefault="00081894">
            <w:pPr>
              <w:jc w:val="center"/>
              <w:rPr>
                <w:b/>
                <w:bCs/>
                <w:sz w:val="22"/>
                <w:szCs w:val="22"/>
              </w:rPr>
            </w:pPr>
            <w:r w:rsidRPr="00701F90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17C54E4" w14:textId="77777777" w:rsidR="00081894" w:rsidRPr="00701F90" w:rsidRDefault="00081894">
            <w:pPr>
              <w:jc w:val="center"/>
              <w:rPr>
                <w:b/>
                <w:bCs/>
                <w:sz w:val="22"/>
                <w:szCs w:val="22"/>
              </w:rPr>
            </w:pPr>
            <w:r w:rsidRPr="00701F90">
              <w:rPr>
                <w:b/>
                <w:bCs/>
                <w:sz w:val="22"/>
                <w:szCs w:val="22"/>
              </w:rPr>
              <w:t>Hengli 2025</w:t>
            </w:r>
          </w:p>
        </w:tc>
        <w:tc>
          <w:tcPr>
            <w:tcW w:w="0" w:type="auto"/>
            <w:vAlign w:val="center"/>
            <w:hideMark/>
          </w:tcPr>
          <w:p w14:paraId="79D1AB5B" w14:textId="77777777" w:rsidR="00081894" w:rsidRPr="00701F90" w:rsidRDefault="00081894">
            <w:pPr>
              <w:jc w:val="center"/>
              <w:rPr>
                <w:b/>
                <w:bCs/>
                <w:sz w:val="22"/>
                <w:szCs w:val="22"/>
              </w:rPr>
            </w:pPr>
            <w:r w:rsidRPr="00701F90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701F90">
              <w:rPr>
                <w:b/>
                <w:bCs/>
                <w:sz w:val="22"/>
                <w:szCs w:val="22"/>
              </w:rPr>
              <w:t>Avg</w:t>
            </w:r>
            <w:proofErr w:type="spellEnd"/>
            <w:r w:rsidRPr="00701F90">
              <w:rPr>
                <w:b/>
                <w:bCs/>
                <w:sz w:val="22"/>
                <w:szCs w:val="22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7BA7BDE9" w14:textId="77777777" w:rsidR="00081894" w:rsidRPr="00701F90" w:rsidRDefault="00081894">
            <w:pPr>
              <w:jc w:val="center"/>
              <w:rPr>
                <w:b/>
                <w:bCs/>
                <w:sz w:val="22"/>
                <w:szCs w:val="22"/>
              </w:rPr>
            </w:pPr>
            <w:r w:rsidRPr="00701F90">
              <w:rPr>
                <w:b/>
                <w:bCs/>
                <w:sz w:val="22"/>
                <w:szCs w:val="22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6D2D9D96" w14:textId="77777777" w:rsidR="00081894" w:rsidRPr="00701F90" w:rsidRDefault="00081894">
            <w:pPr>
              <w:jc w:val="center"/>
              <w:rPr>
                <w:b/>
                <w:bCs/>
                <w:sz w:val="22"/>
                <w:szCs w:val="22"/>
              </w:rPr>
            </w:pPr>
            <w:r w:rsidRPr="00701F90">
              <w:rPr>
                <w:b/>
                <w:bCs/>
                <w:sz w:val="22"/>
                <w:szCs w:val="22"/>
              </w:rPr>
              <w:t>Observations</w:t>
            </w:r>
          </w:p>
        </w:tc>
      </w:tr>
      <w:tr w:rsidR="00081894" w:rsidRPr="00701F90" w14:paraId="6E3E1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7CFC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Debt/Equity</w:t>
            </w:r>
          </w:p>
        </w:tc>
        <w:tc>
          <w:tcPr>
            <w:tcW w:w="0" w:type="auto"/>
            <w:vAlign w:val="center"/>
            <w:hideMark/>
          </w:tcPr>
          <w:p w14:paraId="3677AAF6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263.8% </w:t>
            </w:r>
            <w:hyperlink r:id="rId64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ainvest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7E669EC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~45% </w:t>
            </w:r>
            <w:hyperlink r:id="rId65" w:tgtFrame="_blank" w:history="1"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investing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D7A524F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Rising</w:t>
            </w:r>
          </w:p>
        </w:tc>
        <w:tc>
          <w:tcPr>
            <w:tcW w:w="0" w:type="auto"/>
            <w:vAlign w:val="center"/>
            <w:hideMark/>
          </w:tcPr>
          <w:p w14:paraId="68B476CA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Leverage risk</w:t>
            </w:r>
          </w:p>
        </w:tc>
      </w:tr>
      <w:tr w:rsidR="00081894" w:rsidRPr="00701F90" w14:paraId="5F22C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F6B1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PTA Utilization</w:t>
            </w:r>
          </w:p>
        </w:tc>
        <w:tc>
          <w:tcPr>
            <w:tcW w:w="0" w:type="auto"/>
            <w:vAlign w:val="center"/>
            <w:hideMark/>
          </w:tcPr>
          <w:p w14:paraId="3445C63C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~90% </w:t>
            </w:r>
            <w:hyperlink r:id="rId66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pmarketresearch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3D2AEC8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~85% </w:t>
            </w:r>
            <w:hyperlink r:id="rId67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pmarketresearch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4881754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23F3E847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Efficient</w:t>
            </w:r>
          </w:p>
        </w:tc>
      </w:tr>
      <w:tr w:rsidR="00081894" w:rsidRPr="00701F90" w14:paraId="71E86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EFFD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R&amp;D as % Revenue</w:t>
            </w:r>
          </w:p>
        </w:tc>
        <w:tc>
          <w:tcPr>
            <w:tcW w:w="0" w:type="auto"/>
            <w:vAlign w:val="center"/>
            <w:hideMark/>
          </w:tcPr>
          <w:p w14:paraId="4827A489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2% </w:t>
            </w:r>
            <w:hyperlink r:id="rId68" w:tgtFrame="_blank" w:history="1"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r w:rsidRPr="00701F90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33DFFDA0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&lt;1% </w:t>
            </w:r>
            <w:hyperlink r:id="rId69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pmarketresearch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11C582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Rising</w:t>
            </w:r>
          </w:p>
        </w:tc>
        <w:tc>
          <w:tcPr>
            <w:tcW w:w="0" w:type="auto"/>
            <w:vAlign w:val="center"/>
            <w:hideMark/>
          </w:tcPr>
          <w:p w14:paraId="4BD2D2A9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R&amp;D leader</w:t>
            </w:r>
          </w:p>
        </w:tc>
      </w:tr>
      <w:tr w:rsidR="00081894" w:rsidRPr="00701F90" w14:paraId="086E5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9B89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Export Share</w:t>
            </w:r>
          </w:p>
        </w:tc>
        <w:tc>
          <w:tcPr>
            <w:tcW w:w="0" w:type="auto"/>
            <w:vAlign w:val="center"/>
            <w:hideMark/>
          </w:tcPr>
          <w:p w14:paraId="2AD6DD91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30% </w:t>
            </w:r>
            <w:hyperlink r:id="rId70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FED4D4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 xml:space="preserve">20% </w:t>
            </w:r>
            <w:hyperlink r:id="rId71" w:tgtFrame="_blank" w:history="1">
              <w:proofErr w:type="spellStart"/>
              <w:r w:rsidRPr="00701F90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pmarketresearch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3771A1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Growing</w:t>
            </w:r>
          </w:p>
        </w:tc>
        <w:tc>
          <w:tcPr>
            <w:tcW w:w="0" w:type="auto"/>
            <w:vAlign w:val="center"/>
            <w:hideMark/>
          </w:tcPr>
          <w:p w14:paraId="700EF232" w14:textId="77777777" w:rsidR="00081894" w:rsidRPr="00701F90" w:rsidRDefault="00081894">
            <w:pPr>
              <w:rPr>
                <w:sz w:val="22"/>
                <w:szCs w:val="22"/>
              </w:rPr>
            </w:pPr>
            <w:r w:rsidRPr="00701F90">
              <w:rPr>
                <w:sz w:val="22"/>
                <w:szCs w:val="22"/>
              </w:rPr>
              <w:t>Global reach</w:t>
            </w:r>
          </w:p>
        </w:tc>
      </w:tr>
    </w:tbl>
    <w:p w14:paraId="0C25ACAA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716951BB">
          <v:rect id="_x0000_i1038" style="width:0;height:1.5pt" o:hralign="center" o:hrstd="t" o:hr="t" fillcolor="#a0a0a0" stroked="f"/>
        </w:pict>
      </w:r>
    </w:p>
    <w:p w14:paraId="1C5DA710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t>Key Takeaways</w:t>
      </w:r>
    </w:p>
    <w:p w14:paraId="4FDED838" w14:textId="77777777" w:rsidR="00081894" w:rsidRPr="00701F90" w:rsidRDefault="00081894" w:rsidP="0008189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701F90">
        <w:rPr>
          <w:sz w:val="22"/>
          <w:szCs w:val="22"/>
        </w:rPr>
        <w:t>Hengli Petrochemical is a global leader in polyester and PTA, but faces declining margins, elevated debt, and industry oversupply risk.</w:t>
      </w:r>
      <w:hyperlink r:id="rId7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pmarketresearch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319BA28" w14:textId="77777777" w:rsidR="00081894" w:rsidRPr="00701F90" w:rsidRDefault="00081894" w:rsidP="0008189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701F90">
        <w:rPr>
          <w:sz w:val="22"/>
          <w:szCs w:val="22"/>
        </w:rPr>
        <w:t xml:space="preserve">Strengths include technology, process efficiency, and export scale; risks </w:t>
      </w:r>
      <w:proofErr w:type="spellStart"/>
      <w:r w:rsidRPr="00701F90">
        <w:rPr>
          <w:sz w:val="22"/>
          <w:szCs w:val="22"/>
        </w:rPr>
        <w:t>center</w:t>
      </w:r>
      <w:proofErr w:type="spellEnd"/>
      <w:r w:rsidRPr="00701F90">
        <w:rPr>
          <w:sz w:val="22"/>
          <w:szCs w:val="22"/>
        </w:rPr>
        <w:t xml:space="preserve"> on financial leverage and margin compression.</w:t>
      </w:r>
      <w:hyperlink r:id="rId7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0753E3" w14:textId="77777777" w:rsidR="00081894" w:rsidRPr="00701F90" w:rsidRDefault="00081894" w:rsidP="0008189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701F90">
        <w:rPr>
          <w:sz w:val="22"/>
          <w:szCs w:val="22"/>
        </w:rPr>
        <w:t>“Hold” is warranted due to balanced upside/downside: cost leadership is offset by interest and liquidity risks.</w:t>
      </w:r>
      <w:hyperlink r:id="rId74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multiples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D2A36FC" w14:textId="77777777" w:rsidR="00081894" w:rsidRPr="00701F90" w:rsidRDefault="00081894" w:rsidP="0008189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701F90">
        <w:rPr>
          <w:sz w:val="22"/>
          <w:szCs w:val="22"/>
        </w:rPr>
        <w:t>Monitor innovation (</w:t>
      </w:r>
      <w:proofErr w:type="spellStart"/>
      <w:r w:rsidRPr="00701F90">
        <w:rPr>
          <w:sz w:val="22"/>
          <w:szCs w:val="22"/>
        </w:rPr>
        <w:t>rPET</w:t>
      </w:r>
      <w:proofErr w:type="spellEnd"/>
      <w:r w:rsidRPr="00701F90">
        <w:rPr>
          <w:sz w:val="22"/>
          <w:szCs w:val="22"/>
        </w:rPr>
        <w:t>, specialty polymers), debt management, industry consolidation, and regulatory trends for future improvement.</w:t>
      </w:r>
    </w:p>
    <w:p w14:paraId="778C1D69" w14:textId="77777777" w:rsidR="00081894" w:rsidRPr="00701F90" w:rsidRDefault="00701F90" w:rsidP="00081894">
      <w:pPr>
        <w:rPr>
          <w:sz w:val="22"/>
          <w:szCs w:val="22"/>
        </w:rPr>
      </w:pPr>
      <w:r w:rsidRPr="00701F90">
        <w:rPr>
          <w:sz w:val="22"/>
          <w:szCs w:val="22"/>
        </w:rPr>
        <w:pict w14:anchorId="7071698B">
          <v:rect id="_x0000_i1039" style="width:0;height:1.5pt" o:hralign="center" o:hrstd="t" o:hr="t" fillcolor="#a0a0a0" stroked="f"/>
        </w:pict>
      </w:r>
    </w:p>
    <w:p w14:paraId="55514A5E" w14:textId="77777777" w:rsidR="00081894" w:rsidRPr="00701F90" w:rsidRDefault="00081894" w:rsidP="00081894">
      <w:pPr>
        <w:pStyle w:val="Heading2"/>
        <w:rPr>
          <w:sz w:val="28"/>
          <w:szCs w:val="28"/>
        </w:rPr>
      </w:pPr>
      <w:r w:rsidRPr="00701F90">
        <w:rPr>
          <w:sz w:val="28"/>
          <w:szCs w:val="28"/>
        </w:rPr>
        <w:lastRenderedPageBreak/>
        <w:t>Key Sources</w:t>
      </w:r>
    </w:p>
    <w:p w14:paraId="2A9ED07E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5" w:tgtFrame="_blank" w:history="1">
        <w:r w:rsidRPr="00701F90">
          <w:rPr>
            <w:rStyle w:val="Hyperlink"/>
            <w:rFonts w:eastAsiaTheme="majorEastAsia"/>
            <w:sz w:val="22"/>
            <w:szCs w:val="22"/>
          </w:rPr>
          <w:t>Hengli Petrochemical Annual Reports, 2023–2025</w:t>
        </w:r>
      </w:hyperlink>
      <w:hyperlink r:id="rId76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pdf.dfcfw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9B12B2C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7" w:tgtFrame="_blank" w:history="1">
        <w:r w:rsidRPr="00701F90">
          <w:rPr>
            <w:rStyle w:val="Hyperlink"/>
            <w:rFonts w:eastAsiaTheme="majorEastAsia"/>
            <w:sz w:val="22"/>
            <w:szCs w:val="22"/>
          </w:rPr>
          <w:t xml:space="preserve">Company website &amp; </w:t>
        </w:r>
        <w:proofErr w:type="spellStart"/>
        <w:r w:rsidRPr="00701F90">
          <w:rPr>
            <w:rStyle w:val="Hyperlink"/>
            <w:rFonts w:eastAsiaTheme="majorEastAsia"/>
            <w:sz w:val="22"/>
            <w:szCs w:val="22"/>
          </w:rPr>
          <w:t>presentations</w:t>
        </w:r>
      </w:hyperlink>
      <w:hyperlink r:id="rId78" w:tgtFrame="_blank" w:history="1">
        <w:proofErr w:type="gramStart"/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global.hengli</w:t>
        </w:r>
        <w:proofErr w:type="spellEnd"/>
        <w:proofErr w:type="gramEnd"/>
      </w:hyperlink>
    </w:p>
    <w:p w14:paraId="0CD1EFB5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9" w:tgtFrame="_blank" w:history="1">
        <w:r w:rsidRPr="00701F90">
          <w:rPr>
            <w:rStyle w:val="Hyperlink"/>
            <w:rFonts w:eastAsiaTheme="majorEastAsia"/>
            <w:sz w:val="22"/>
            <w:szCs w:val="22"/>
          </w:rPr>
          <w:t>Industry reports—</w:t>
        </w:r>
        <w:proofErr w:type="spellStart"/>
        <w:r w:rsidRPr="00701F90">
          <w:rPr>
            <w:rStyle w:val="Hyperlink"/>
            <w:rFonts w:eastAsiaTheme="majorEastAsia"/>
            <w:sz w:val="22"/>
            <w:szCs w:val="22"/>
          </w:rPr>
          <w:t>GlobalData</w:t>
        </w:r>
        <w:proofErr w:type="spellEnd"/>
        <w:r w:rsidRPr="00701F90">
          <w:rPr>
            <w:rStyle w:val="Hyperlink"/>
            <w:rFonts w:eastAsiaTheme="majorEastAsia"/>
            <w:sz w:val="22"/>
            <w:szCs w:val="22"/>
          </w:rPr>
          <w:t>, McKinsey, market data on PTA</w:t>
        </w:r>
      </w:hyperlink>
      <w:hyperlink r:id="rId80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globaldata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CE5B97C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1" w:tgtFrame="_blank" w:history="1">
        <w:r w:rsidRPr="00701F90">
          <w:rPr>
            <w:rStyle w:val="Hyperlink"/>
            <w:rFonts w:eastAsiaTheme="majorEastAsia"/>
            <w:sz w:val="22"/>
            <w:szCs w:val="22"/>
          </w:rPr>
          <w:t>Financial/market data sites: Yahoo Finance, FT.com, Investing.com</w:t>
        </w:r>
      </w:hyperlink>
      <w:hyperlink r:id="rId82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4409B5DE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701F90">
        <w:rPr>
          <w:sz w:val="22"/>
          <w:szCs w:val="22"/>
        </w:rPr>
        <w:t>[Recent news &amp; analyst notes (Goldman Sachs, Morgan Stanley)]</w:t>
      </w:r>
      <w:hyperlink r:id="rId83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701F90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4392EE2C" w14:textId="77777777" w:rsidR="00081894" w:rsidRPr="00701F90" w:rsidRDefault="00081894" w:rsidP="00081894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4" w:tgtFrame="_blank" w:history="1">
        <w:r w:rsidRPr="00701F90">
          <w:rPr>
            <w:rStyle w:val="Hyperlink"/>
            <w:rFonts w:eastAsiaTheme="majorEastAsia"/>
            <w:sz w:val="22"/>
            <w:szCs w:val="22"/>
          </w:rPr>
          <w:t xml:space="preserve">Sustainalytics ESG </w:t>
        </w:r>
        <w:proofErr w:type="spellStart"/>
        <w:r w:rsidRPr="00701F90">
          <w:rPr>
            <w:rStyle w:val="Hyperlink"/>
            <w:rFonts w:eastAsiaTheme="majorEastAsia"/>
            <w:sz w:val="22"/>
            <w:szCs w:val="22"/>
          </w:rPr>
          <w:t>Ratings</w:t>
        </w:r>
      </w:hyperlink>
      <w:hyperlink r:id="rId85" w:tgtFrame="_blank" w:history="1">
        <w:r w:rsidRPr="00701F9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sustainalytics</w:t>
        </w:r>
        <w:proofErr w:type="spellEnd"/>
      </w:hyperlink>
    </w:p>
    <w:p w14:paraId="76C7F6BB" w14:textId="77777777" w:rsidR="00081894" w:rsidRPr="00701F90" w:rsidRDefault="00081894" w:rsidP="00081894">
      <w:pPr>
        <w:pStyle w:val="my-2"/>
        <w:rPr>
          <w:sz w:val="22"/>
          <w:szCs w:val="22"/>
        </w:rPr>
      </w:pPr>
      <w:r w:rsidRPr="00701F90">
        <w:rPr>
          <w:rStyle w:val="Emphasis"/>
          <w:rFonts w:eastAsiaTheme="majorEastAsia"/>
          <w:sz w:val="22"/>
          <w:szCs w:val="22"/>
        </w:rPr>
        <w:t>All referenced materials reviewed and considered in this summary. Links included above for further information.</w:t>
      </w:r>
      <w:r w:rsidRPr="00701F90">
        <w:rPr>
          <w:sz w:val="22"/>
          <w:szCs w:val="22"/>
        </w:rPr>
        <w:br/>
        <w:t>&lt;/markdown&gt;</w:t>
      </w:r>
    </w:p>
    <w:p w14:paraId="70516196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701F90">
          <w:rPr>
            <w:rStyle w:val="Hyperlink"/>
            <w:sz w:val="22"/>
            <w:szCs w:val="22"/>
          </w:rPr>
          <w:t>https://sg.finance.yahoo.com/quote/600346.SS/</w:t>
        </w:r>
      </w:hyperlink>
    </w:p>
    <w:p w14:paraId="7D19A8DB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701F90">
          <w:rPr>
            <w:rStyle w:val="Hyperlink"/>
            <w:sz w:val="22"/>
            <w:szCs w:val="22"/>
          </w:rPr>
          <w:t>https://multiples.vc/public-comps/hengli-petrochemical-valuation-multiples</w:t>
        </w:r>
      </w:hyperlink>
    </w:p>
    <w:p w14:paraId="5C6FD304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701F90">
          <w:rPr>
            <w:rStyle w:val="Hyperlink"/>
            <w:sz w:val="22"/>
            <w:szCs w:val="22"/>
          </w:rPr>
          <w:t>https://global.hengli.com</w:t>
        </w:r>
      </w:hyperlink>
    </w:p>
    <w:p w14:paraId="48FF2B3A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701F90">
          <w:rPr>
            <w:rStyle w:val="Hyperlink"/>
            <w:sz w:val="22"/>
            <w:szCs w:val="22"/>
          </w:rPr>
          <w:t>https://camaltd.com/hengli-group/</w:t>
        </w:r>
      </w:hyperlink>
    </w:p>
    <w:p w14:paraId="002A23B2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701F90">
          <w:rPr>
            <w:rStyle w:val="Hyperlink"/>
            <w:sz w:val="22"/>
            <w:szCs w:val="22"/>
          </w:rPr>
          <w:t>https://www.sustainalytics.com/esg-rating/hengli-petrochemical-co-ltd/2000817397</w:t>
        </w:r>
      </w:hyperlink>
    </w:p>
    <w:p w14:paraId="6BA80C0C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701F90">
          <w:rPr>
            <w:rStyle w:val="Hyperlink"/>
            <w:sz w:val="22"/>
            <w:szCs w:val="22"/>
          </w:rPr>
          <w:t>https://dcfmodeling.com/blogs/vision/600346ss-mission-vision</w:t>
        </w:r>
      </w:hyperlink>
    </w:p>
    <w:p w14:paraId="28E324E5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701F90">
          <w:rPr>
            <w:rStyle w:val="Hyperlink"/>
            <w:sz w:val="22"/>
            <w:szCs w:val="22"/>
          </w:rPr>
          <w:t>https://www.jlcint.com/news/48531.html</w:t>
        </w:r>
      </w:hyperlink>
    </w:p>
    <w:p w14:paraId="2D0B22B6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701F90">
          <w:rPr>
            <w:rStyle w:val="Hyperlink"/>
            <w:sz w:val="22"/>
            <w:szCs w:val="22"/>
          </w:rPr>
          <w:t>http://notice.10jqka.com.cn/api/pdf/84786f2787597172.pdf</w:t>
        </w:r>
      </w:hyperlink>
    </w:p>
    <w:p w14:paraId="1F3F5877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701F90">
          <w:rPr>
            <w:rStyle w:val="Hyperlink"/>
            <w:sz w:val="22"/>
            <w:szCs w:val="22"/>
          </w:rPr>
          <w:t>https://www.reuters.com/markets/companies/600346.SS/</w:t>
        </w:r>
      </w:hyperlink>
    </w:p>
    <w:p w14:paraId="5C31977C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701F90">
          <w:rPr>
            <w:rStyle w:val="Hyperlink"/>
            <w:sz w:val="22"/>
            <w:szCs w:val="22"/>
          </w:rPr>
          <w:t>https://www.ainvest.com/news/hengli-petrochemical-24-profit-decline-cyclical-woe-strategic-opportunity-2508/</w:t>
        </w:r>
      </w:hyperlink>
    </w:p>
    <w:p w14:paraId="758D4A1C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701F90">
          <w:rPr>
            <w:rStyle w:val="Hyperlink"/>
            <w:sz w:val="22"/>
            <w:szCs w:val="22"/>
          </w:rPr>
          <w:t>https://dcfmodeling.com/blogs/history/600346ss-history-mission-ownership</w:t>
        </w:r>
      </w:hyperlink>
    </w:p>
    <w:p w14:paraId="4860FAC0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701F90">
          <w:rPr>
            <w:rStyle w:val="Hyperlink"/>
            <w:sz w:val="22"/>
            <w:szCs w:val="22"/>
          </w:rPr>
          <w:t>https://pmarketresearch.com/review-of-production-and-marketing-of-pta-industry-in-china-and-analysis-of-price-trend-in-2020/</w:t>
        </w:r>
      </w:hyperlink>
    </w:p>
    <w:p w14:paraId="4B8064DA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701F90">
          <w:rPr>
            <w:rStyle w:val="Hyperlink"/>
            <w:sz w:val="22"/>
            <w:szCs w:val="22"/>
          </w:rPr>
          <w:t>https://qxb-pdf-osscache.qixin.com/AnBaseinfo/41e79af386903a397aebef6db1a4afa7.pdf</w:t>
        </w:r>
      </w:hyperlink>
    </w:p>
    <w:p w14:paraId="17A9D584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701F90">
          <w:rPr>
            <w:rStyle w:val="Hyperlink"/>
            <w:sz w:val="22"/>
            <w:szCs w:val="22"/>
          </w:rPr>
          <w:t>https://www.investing.com/equities/dalian-rubber-financial-summary</w:t>
        </w:r>
      </w:hyperlink>
    </w:p>
    <w:p w14:paraId="6970E604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701F90">
          <w:rPr>
            <w:rStyle w:val="Hyperlink"/>
            <w:sz w:val="22"/>
            <w:szCs w:val="22"/>
          </w:rPr>
          <w:t>https://www.moomoo.com/news/post/51861966/hengli-petrochemical-earnings-in-the-first-quarter-of-2025-are</w:t>
        </w:r>
      </w:hyperlink>
    </w:p>
    <w:p w14:paraId="2B352915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701F90">
          <w:rPr>
            <w:rStyle w:val="Hyperlink"/>
            <w:sz w:val="22"/>
            <w:szCs w:val="22"/>
          </w:rPr>
          <w:t>https://forum.ccfgroup.com/2025/wap/disp.php?id=2816</w:t>
        </w:r>
      </w:hyperlink>
    </w:p>
    <w:p w14:paraId="3175C73F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701F90">
          <w:rPr>
            <w:rStyle w:val="Hyperlink"/>
            <w:sz w:val="22"/>
            <w:szCs w:val="22"/>
          </w:rPr>
          <w:t>https://tradingeconomics.com/600346:ch:debt</w:t>
        </w:r>
      </w:hyperlink>
    </w:p>
    <w:p w14:paraId="0E6993B5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701F90">
          <w:rPr>
            <w:rStyle w:val="Hyperlink"/>
            <w:sz w:val="22"/>
            <w:szCs w:val="22"/>
          </w:rPr>
          <w:t>https://www.investing.com/equities/dalian-rubber-ratios</w:t>
        </w:r>
      </w:hyperlink>
    </w:p>
    <w:p w14:paraId="035435B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701F90">
          <w:rPr>
            <w:rStyle w:val="Hyperlink"/>
            <w:sz w:val="22"/>
            <w:szCs w:val="22"/>
          </w:rPr>
          <w:t>https://cbonds.com/news/3547027/</w:t>
        </w:r>
      </w:hyperlink>
    </w:p>
    <w:p w14:paraId="509E42D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701F90">
          <w:rPr>
            <w:rStyle w:val="Hyperlink"/>
            <w:sz w:val="22"/>
            <w:szCs w:val="22"/>
          </w:rPr>
          <w:t>https://www.futunn.com/en/stock/600346-SH/earnings</w:t>
        </w:r>
      </w:hyperlink>
    </w:p>
    <w:p w14:paraId="627802C2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701F90">
          <w:rPr>
            <w:rStyle w:val="Hyperlink"/>
            <w:sz w:val="22"/>
            <w:szCs w:val="22"/>
          </w:rPr>
          <w:t>https://www.bloomberg.com/news/articles/2025-08-29/goldman-boosts-china-stock-targets-as-morgan-stanley-flags-risks</w:t>
        </w:r>
      </w:hyperlink>
    </w:p>
    <w:p w14:paraId="310EC197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701F90">
          <w:rPr>
            <w:rStyle w:val="Hyperlink"/>
            <w:sz w:val="22"/>
            <w:szCs w:val="22"/>
          </w:rPr>
          <w:t>https://pdf.dfcfw.com/pdf/H2_AN202405131632949750_1.pdf</w:t>
        </w:r>
      </w:hyperlink>
    </w:p>
    <w:p w14:paraId="1E259407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701F90">
          <w:rPr>
            <w:rStyle w:val="Hyperlink"/>
            <w:sz w:val="22"/>
            <w:szCs w:val="22"/>
          </w:rPr>
          <w:t>https://stockn.xueqiu.com/SH600346/20250519294199.pdf</w:t>
        </w:r>
      </w:hyperlink>
    </w:p>
    <w:p w14:paraId="22AC7FA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701F90">
          <w:rPr>
            <w:rStyle w:val="Hyperlink"/>
            <w:sz w:val="22"/>
            <w:szCs w:val="22"/>
          </w:rPr>
          <w:t>https://www.globaldata.com/store/report/purified-terephthalic-acid-pta-industry-outlook-in-china-to-2025-market-size-company-share-price-trends-capacity-forecasts-of-all-active-and-planned-plants/</w:t>
        </w:r>
      </w:hyperlink>
    </w:p>
    <w:p w14:paraId="4EAACCF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0" w:history="1">
        <w:r w:rsidRPr="00701F90">
          <w:rPr>
            <w:rStyle w:val="Hyperlink"/>
            <w:sz w:val="22"/>
            <w:szCs w:val="22"/>
          </w:rPr>
          <w:t>https://www.marketresearchstore.com/market-insights/pta-market-799796</w:t>
        </w:r>
      </w:hyperlink>
    </w:p>
    <w:p w14:paraId="0986E825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1" w:history="1">
        <w:r w:rsidRPr="00701F90">
          <w:rPr>
            <w:rStyle w:val="Hyperlink"/>
            <w:sz w:val="22"/>
            <w:szCs w:val="22"/>
          </w:rPr>
          <w:t>https://www.reuters.com/markets/us/goldman-sachs-forecasts-sp-500-target-6500-2025-end-joins-morgan-stanley-2024-11-19/</w:t>
        </w:r>
      </w:hyperlink>
    </w:p>
    <w:p w14:paraId="17848BF1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2" w:history="1">
        <w:r w:rsidRPr="00701F90">
          <w:rPr>
            <w:rStyle w:val="Hyperlink"/>
            <w:sz w:val="22"/>
            <w:szCs w:val="22"/>
          </w:rPr>
          <w:t>https://www.forbes.com/companies/hengli-petrochemical/</w:t>
        </w:r>
      </w:hyperlink>
    </w:p>
    <w:p w14:paraId="52F94E61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3" w:history="1">
        <w:r w:rsidRPr="00701F90">
          <w:rPr>
            <w:rStyle w:val="Hyperlink"/>
            <w:sz w:val="22"/>
            <w:szCs w:val="22"/>
          </w:rPr>
          <w:t>https://investor.galaxy.com/news/news-details/2025/Galaxy-Announces-Second-Quarter-2025-Financial-Results/default.aspx</w:t>
        </w:r>
      </w:hyperlink>
    </w:p>
    <w:p w14:paraId="4140B10F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4" w:history="1">
        <w:r w:rsidRPr="00701F90">
          <w:rPr>
            <w:rStyle w:val="Hyperlink"/>
            <w:sz w:val="22"/>
            <w:szCs w:val="22"/>
          </w:rPr>
          <w:t>https://www.wsj.com/market-data/quotes/CN/XSHG/600346/financials</w:t>
        </w:r>
      </w:hyperlink>
    </w:p>
    <w:p w14:paraId="69D573C6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5" w:history="1">
        <w:r w:rsidRPr="00701F90">
          <w:rPr>
            <w:rStyle w:val="Hyperlink"/>
            <w:sz w:val="22"/>
            <w:szCs w:val="22"/>
          </w:rPr>
          <w:t>https://hk.finance.yahoo.com/quote/600346.SS/profile/</w:t>
        </w:r>
      </w:hyperlink>
    </w:p>
    <w:p w14:paraId="3CC75F47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6" w:history="1">
        <w:r w:rsidRPr="00701F90">
          <w:rPr>
            <w:rStyle w:val="Hyperlink"/>
            <w:sz w:val="22"/>
            <w:szCs w:val="22"/>
          </w:rPr>
          <w:t>https://www.futunn.com/en/stock/600346-SH/financials-key-indicators</w:t>
        </w:r>
      </w:hyperlink>
    </w:p>
    <w:p w14:paraId="479EF34B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7" w:history="1">
        <w:r w:rsidRPr="00701F90">
          <w:rPr>
            <w:rStyle w:val="Hyperlink"/>
            <w:sz w:val="22"/>
            <w:szCs w:val="22"/>
          </w:rPr>
          <w:t>https://www.reuters.com/markets/deals/chinas-hengli-petrochemical-says-saudi-aramco-talks-buy-10-company-2024-04-22/</w:t>
        </w:r>
      </w:hyperlink>
    </w:p>
    <w:p w14:paraId="37E86F8B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8" w:history="1">
        <w:r w:rsidRPr="00701F90">
          <w:rPr>
            <w:rStyle w:val="Hyperlink"/>
            <w:sz w:val="22"/>
            <w:szCs w:val="22"/>
          </w:rPr>
          <w:t>https://www.moomoo.com/news/post/53657463/is-hengli-petrochemicalltd-shse-600346-a-risky-investment</w:t>
        </w:r>
      </w:hyperlink>
    </w:p>
    <w:p w14:paraId="6B0C0587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9" w:history="1">
        <w:r w:rsidRPr="00701F90">
          <w:rPr>
            <w:rStyle w:val="Hyperlink"/>
            <w:sz w:val="22"/>
            <w:szCs w:val="22"/>
          </w:rPr>
          <w:t>https://eulerpool.com/en/stock/Hengli-Petrochemical-Stock-CNE0000018V0/Equity</w:t>
        </w:r>
      </w:hyperlink>
    </w:p>
    <w:p w14:paraId="473D0AAC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0" w:history="1">
        <w:r w:rsidRPr="00701F90">
          <w:rPr>
            <w:rStyle w:val="Hyperlink"/>
            <w:sz w:val="22"/>
            <w:szCs w:val="22"/>
          </w:rPr>
          <w:t>https://stockanalysis.com/quote/sha/600346/financials/ratios/</w:t>
        </w:r>
      </w:hyperlink>
    </w:p>
    <w:p w14:paraId="0BCF416E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1" w:history="1">
        <w:r w:rsidRPr="00701F90">
          <w:rPr>
            <w:rStyle w:val="Hyperlink"/>
            <w:sz w:val="22"/>
            <w:szCs w:val="22"/>
          </w:rPr>
          <w:t>https://news.futunn.com/en/post/55743346/hengli-petrochemical-earnings-in-the-first-quarter-of-2025-are</w:t>
        </w:r>
      </w:hyperlink>
    </w:p>
    <w:p w14:paraId="290DBD61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2" w:history="1">
        <w:r w:rsidRPr="00701F90">
          <w:rPr>
            <w:rStyle w:val="Hyperlink"/>
            <w:sz w:val="22"/>
            <w:szCs w:val="22"/>
          </w:rPr>
          <w:t>https://finance.yahoo.com/quote/MRK/analysis/</w:t>
        </w:r>
      </w:hyperlink>
    </w:p>
    <w:p w14:paraId="0F26F05B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3" w:history="1">
        <w:r w:rsidRPr="00701F90">
          <w:rPr>
            <w:rStyle w:val="Hyperlink"/>
            <w:sz w:val="22"/>
            <w:szCs w:val="22"/>
          </w:rPr>
          <w:t>https://www.ainvest.com/news/hengli-petrochemical-24-profit-decline-cyclical-woe-strategic-buying-opportunity-2508/</w:t>
        </w:r>
      </w:hyperlink>
    </w:p>
    <w:p w14:paraId="63DF9CC9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4" w:history="1">
        <w:r w:rsidRPr="00701F90">
          <w:rPr>
            <w:rStyle w:val="Hyperlink"/>
            <w:sz w:val="22"/>
            <w:szCs w:val="22"/>
          </w:rPr>
          <w:t>https://simplywall.st/stocks/cn/materials/shse-600346/hengli-petrochemicalltd-shares/news/hengli-petrochemicalltd-shse600346-seems-to-be-using-a-lot-o/amp</w:t>
        </w:r>
      </w:hyperlink>
    </w:p>
    <w:p w14:paraId="148EC109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5" w:history="1">
        <w:r w:rsidRPr="00701F90">
          <w:rPr>
            <w:rStyle w:val="Hyperlink"/>
            <w:sz w:val="22"/>
            <w:szCs w:val="22"/>
          </w:rPr>
          <w:t>https://markets.ft.com/data/equities/tearsheet/profile?s=600346%3ASHH</w:t>
        </w:r>
      </w:hyperlink>
    </w:p>
    <w:p w14:paraId="43902CF8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6" w:history="1">
        <w:r w:rsidRPr="00701F90">
          <w:rPr>
            <w:rStyle w:val="Hyperlink"/>
            <w:sz w:val="22"/>
            <w:szCs w:val="22"/>
          </w:rPr>
          <w:t>https://www.marketscreener.com/quote/stock/HENGLI-PETROCHEMICAL-CO-L-9949945/calendar/</w:t>
        </w:r>
      </w:hyperlink>
    </w:p>
    <w:p w14:paraId="0D19F080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7" w:history="1">
        <w:r w:rsidRPr="00701F90">
          <w:rPr>
            <w:rStyle w:val="Hyperlink"/>
            <w:sz w:val="22"/>
            <w:szCs w:val="22"/>
          </w:rPr>
          <w:t>https://fortune.com/company/delek-us-holdings/earnings/q2-2025/</w:t>
        </w:r>
      </w:hyperlink>
    </w:p>
    <w:p w14:paraId="372C2023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8" w:history="1">
        <w:r w:rsidRPr="00701F90">
          <w:rPr>
            <w:rStyle w:val="Hyperlink"/>
            <w:sz w:val="22"/>
            <w:szCs w:val="22"/>
          </w:rPr>
          <w:t>https://seekingalpha.com/article/4817342-sinopec-shanghai-petrochemical-company-limited-sptjf-q2-2025-earnings-call-transcript</w:t>
        </w:r>
      </w:hyperlink>
    </w:p>
    <w:p w14:paraId="32D9BD0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9" w:history="1">
        <w:r w:rsidRPr="00701F90">
          <w:rPr>
            <w:rStyle w:val="Hyperlink"/>
            <w:sz w:val="22"/>
            <w:szCs w:val="22"/>
          </w:rPr>
          <w:t>https://www.investing.com/news/analyst-ratings/morgan-stanley-raises-goldman-sachs-stock-price-target-to-706-on-higher-revenue-outlook-93CH-4139231</w:t>
        </w:r>
      </w:hyperlink>
    </w:p>
    <w:p w14:paraId="6636697F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0" w:history="1">
        <w:r w:rsidRPr="00701F90">
          <w:rPr>
            <w:rStyle w:val="Hyperlink"/>
            <w:sz w:val="22"/>
            <w:szCs w:val="22"/>
          </w:rPr>
          <w:t>https://www.nasdaq.com/articles/caleres-cal-q2-2025-earnings-call-transcript</w:t>
        </w:r>
      </w:hyperlink>
    </w:p>
    <w:p w14:paraId="507A1BCE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1" w:history="1">
        <w:r w:rsidRPr="00701F90">
          <w:rPr>
            <w:rStyle w:val="Hyperlink"/>
            <w:sz w:val="22"/>
            <w:szCs w:val="22"/>
          </w:rPr>
          <w:t>https://finance.yahoo.com/news/morgan-stanley-lifts-goldman-sachs-054045630.html</w:t>
        </w:r>
      </w:hyperlink>
    </w:p>
    <w:p w14:paraId="77899289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2" w:history="1">
        <w:r w:rsidRPr="00701F90">
          <w:rPr>
            <w:rStyle w:val="Hyperlink"/>
            <w:sz w:val="22"/>
            <w:szCs w:val="22"/>
          </w:rPr>
          <w:t>https://es.chinapbt.net/news/forecast-of-china-s-pta-market-trend-in-55019840.html</w:t>
        </w:r>
      </w:hyperlink>
    </w:p>
    <w:p w14:paraId="73C796C4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3" w:history="1">
        <w:r w:rsidRPr="00701F90">
          <w:rPr>
            <w:rStyle w:val="Hyperlink"/>
            <w:sz w:val="22"/>
            <w:szCs w:val="22"/>
          </w:rPr>
          <w:t>https://www.futunn.com/en/stock/GS-US/forecast</w:t>
        </w:r>
      </w:hyperlink>
    </w:p>
    <w:p w14:paraId="4AEFC6ED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4" w:history="1">
        <w:r w:rsidRPr="00701F90">
          <w:rPr>
            <w:rStyle w:val="Hyperlink"/>
            <w:sz w:val="22"/>
            <w:szCs w:val="22"/>
          </w:rPr>
          <w:t>https://uk.finance.yahoo.com/research/stock-forecast/MS?symbols=MS</w:t>
        </w:r>
      </w:hyperlink>
    </w:p>
    <w:p w14:paraId="6BAF5753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5" w:history="1">
        <w:r w:rsidRPr="00701F90">
          <w:rPr>
            <w:rStyle w:val="Hyperlink"/>
            <w:sz w:val="22"/>
            <w:szCs w:val="22"/>
          </w:rPr>
          <w:t>https://www.maiaresearch.com/market-report/Chemicals/Global-Pta-Consumption-Market-Research-Report-2013-2025-of-Major-Types--Applications-and-Competitive-Vendors-in-Top-Regions-and-Countries-735701.html</w:t>
        </w:r>
      </w:hyperlink>
    </w:p>
    <w:p w14:paraId="40B5F434" w14:textId="77777777" w:rsidR="00081894" w:rsidRPr="00701F90" w:rsidRDefault="00081894" w:rsidP="0008189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6" w:history="1">
        <w:r w:rsidRPr="00701F90">
          <w:rPr>
            <w:rStyle w:val="Hyperlink"/>
            <w:sz w:val="22"/>
            <w:szCs w:val="22"/>
          </w:rPr>
          <w:t>https://www.moomoo.com/news/post/56511577/goldman-sachs-adjusts-price-target-on-morgan-stanley-to-145</w:t>
        </w:r>
      </w:hyperlink>
    </w:p>
    <w:p w14:paraId="23F5DCBD" w14:textId="77777777" w:rsidR="00A71F00" w:rsidRPr="00701F90" w:rsidRDefault="00A71F00">
      <w:pPr>
        <w:rPr>
          <w:sz w:val="22"/>
          <w:szCs w:val="22"/>
        </w:rPr>
      </w:pPr>
    </w:p>
    <w:sectPr w:rsidR="00A71F00" w:rsidRPr="0070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1691" w14:textId="77777777" w:rsidR="00701F90" w:rsidRDefault="00701F90" w:rsidP="00701F90">
      <w:pPr>
        <w:spacing w:after="0" w:line="240" w:lineRule="auto"/>
      </w:pPr>
      <w:r>
        <w:separator/>
      </w:r>
    </w:p>
  </w:endnote>
  <w:endnote w:type="continuationSeparator" w:id="0">
    <w:p w14:paraId="7F86732E" w14:textId="77777777" w:rsidR="00701F90" w:rsidRDefault="00701F90" w:rsidP="0070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EAD6E" w14:textId="77777777" w:rsidR="00701F90" w:rsidRDefault="00701F90" w:rsidP="00701F90">
      <w:pPr>
        <w:spacing w:after="0" w:line="240" w:lineRule="auto"/>
      </w:pPr>
      <w:r>
        <w:separator/>
      </w:r>
    </w:p>
  </w:footnote>
  <w:footnote w:type="continuationSeparator" w:id="0">
    <w:p w14:paraId="391FF554" w14:textId="77777777" w:rsidR="00701F90" w:rsidRDefault="00701F90" w:rsidP="0070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CC0"/>
    <w:multiLevelType w:val="multilevel"/>
    <w:tmpl w:val="3FD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7CFF"/>
    <w:multiLevelType w:val="multilevel"/>
    <w:tmpl w:val="11F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3C82"/>
    <w:multiLevelType w:val="multilevel"/>
    <w:tmpl w:val="25FA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416CB"/>
    <w:multiLevelType w:val="multilevel"/>
    <w:tmpl w:val="1F7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3E38"/>
    <w:multiLevelType w:val="multilevel"/>
    <w:tmpl w:val="65A8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4EC3"/>
    <w:multiLevelType w:val="multilevel"/>
    <w:tmpl w:val="CCB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144DB"/>
    <w:multiLevelType w:val="multilevel"/>
    <w:tmpl w:val="A75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657B"/>
    <w:multiLevelType w:val="multilevel"/>
    <w:tmpl w:val="FD5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1D1D"/>
    <w:multiLevelType w:val="multilevel"/>
    <w:tmpl w:val="193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C08FF"/>
    <w:multiLevelType w:val="multilevel"/>
    <w:tmpl w:val="A6E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57F2"/>
    <w:multiLevelType w:val="multilevel"/>
    <w:tmpl w:val="346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B7403"/>
    <w:multiLevelType w:val="multilevel"/>
    <w:tmpl w:val="EC4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B5DF1"/>
    <w:multiLevelType w:val="multilevel"/>
    <w:tmpl w:val="7BA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46AEA"/>
    <w:multiLevelType w:val="multilevel"/>
    <w:tmpl w:val="E6A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96C8E"/>
    <w:multiLevelType w:val="multilevel"/>
    <w:tmpl w:val="C5B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F11B0"/>
    <w:multiLevelType w:val="multilevel"/>
    <w:tmpl w:val="A1A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295">
    <w:abstractNumId w:val="13"/>
  </w:num>
  <w:num w:numId="2" w16cid:durableId="1144007341">
    <w:abstractNumId w:val="5"/>
  </w:num>
  <w:num w:numId="3" w16cid:durableId="160782299">
    <w:abstractNumId w:val="9"/>
  </w:num>
  <w:num w:numId="4" w16cid:durableId="1137920687">
    <w:abstractNumId w:val="6"/>
  </w:num>
  <w:num w:numId="5" w16cid:durableId="135072927">
    <w:abstractNumId w:val="8"/>
  </w:num>
  <w:num w:numId="6" w16cid:durableId="1402755809">
    <w:abstractNumId w:val="10"/>
  </w:num>
  <w:num w:numId="7" w16cid:durableId="1991863410">
    <w:abstractNumId w:val="1"/>
  </w:num>
  <w:num w:numId="8" w16cid:durableId="706179682">
    <w:abstractNumId w:val="3"/>
  </w:num>
  <w:num w:numId="9" w16cid:durableId="1209803792">
    <w:abstractNumId w:val="14"/>
  </w:num>
  <w:num w:numId="10" w16cid:durableId="142236313">
    <w:abstractNumId w:val="4"/>
  </w:num>
  <w:num w:numId="11" w16cid:durableId="968319325">
    <w:abstractNumId w:val="15"/>
  </w:num>
  <w:num w:numId="12" w16cid:durableId="1455902184">
    <w:abstractNumId w:val="12"/>
  </w:num>
  <w:num w:numId="13" w16cid:durableId="225381086">
    <w:abstractNumId w:val="0"/>
  </w:num>
  <w:num w:numId="14" w16cid:durableId="474876416">
    <w:abstractNumId w:val="11"/>
  </w:num>
  <w:num w:numId="15" w16cid:durableId="1958490068">
    <w:abstractNumId w:val="7"/>
  </w:num>
  <w:num w:numId="16" w16cid:durableId="1462191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94"/>
    <w:rsid w:val="00072FAD"/>
    <w:rsid w:val="00081894"/>
    <w:rsid w:val="00137A7A"/>
    <w:rsid w:val="00701F90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514DD"/>
  <w15:chartTrackingRefBased/>
  <w15:docId w15:val="{878C084A-E404-49BE-9F10-C35A89FF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94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08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1894"/>
    <w:rPr>
      <w:b/>
      <w:bCs/>
    </w:rPr>
  </w:style>
  <w:style w:type="character" w:customStyle="1" w:styleId="citation">
    <w:name w:val="citation"/>
    <w:basedOn w:val="DefaultParagraphFont"/>
    <w:rsid w:val="00081894"/>
  </w:style>
  <w:style w:type="character" w:styleId="Hyperlink">
    <w:name w:val="Hyperlink"/>
    <w:basedOn w:val="DefaultParagraphFont"/>
    <w:uiPriority w:val="99"/>
    <w:semiHidden/>
    <w:unhideWhenUsed/>
    <w:rsid w:val="00081894"/>
    <w:rPr>
      <w:color w:val="0000FF"/>
      <w:u w:val="single"/>
    </w:rPr>
  </w:style>
  <w:style w:type="character" w:customStyle="1" w:styleId="relative">
    <w:name w:val="relative"/>
    <w:basedOn w:val="DefaultParagraphFont"/>
    <w:rsid w:val="00081894"/>
  </w:style>
  <w:style w:type="character" w:customStyle="1" w:styleId="opacity-50">
    <w:name w:val="opacity-50"/>
    <w:basedOn w:val="DefaultParagraphFont"/>
    <w:rsid w:val="00081894"/>
  </w:style>
  <w:style w:type="character" w:styleId="Emphasis">
    <w:name w:val="Emphasis"/>
    <w:basedOn w:val="DefaultParagraphFont"/>
    <w:uiPriority w:val="20"/>
    <w:qFormat/>
    <w:rsid w:val="0008189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01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90"/>
  </w:style>
  <w:style w:type="paragraph" w:styleId="Footer">
    <w:name w:val="footer"/>
    <w:basedOn w:val="Normal"/>
    <w:link w:val="FooterChar"/>
    <w:uiPriority w:val="99"/>
    <w:unhideWhenUsed/>
    <w:rsid w:val="00701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reuters.com/markets/deals/chinas-hengli-petrochemical-says-saudi-aramco-talks-buy-10-company-2024-04-22/" TargetMode="External"/><Relationship Id="rId21" Type="http://schemas.openxmlformats.org/officeDocument/2006/relationships/hyperlink" Target="https://www.sustainalytics.com/esg-rating/hengli-petrochemical-co-ltd/2000817397" TargetMode="External"/><Relationship Id="rId42" Type="http://schemas.openxmlformats.org/officeDocument/2006/relationships/hyperlink" Target="https://dcfmodeling.com/blogs/vision/600346ss-mission-vision" TargetMode="External"/><Relationship Id="rId63" Type="http://schemas.openxmlformats.org/officeDocument/2006/relationships/hyperlink" Target="https://forum.ccfgroup.com/2025/wap/disp.php?id=2816" TargetMode="External"/><Relationship Id="rId84" Type="http://schemas.openxmlformats.org/officeDocument/2006/relationships/hyperlink" Target="https://www.sustainalytics.com/esg-rating/hengli-petrochemical-co-ltd/2000817397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www.moomoo.com/news/post/51861966/hengli-petrochemical-earnings-in-the-first-quarter-of-2025-are" TargetMode="External"/><Relationship Id="rId107" Type="http://schemas.openxmlformats.org/officeDocument/2006/relationships/hyperlink" Target="https://pdf.dfcfw.com/pdf/H2_AN202405131632949750_1.pdf" TargetMode="External"/><Relationship Id="rId11" Type="http://schemas.openxmlformats.org/officeDocument/2006/relationships/hyperlink" Target="http://notice.10jqka.com.cn/api/pdf/84786f2787597172.pdf" TargetMode="External"/><Relationship Id="rId32" Type="http://schemas.openxmlformats.org/officeDocument/2006/relationships/hyperlink" Target="https://www.sustainalytics.com/esg-rating/hengli-petrochemical-co-ltd/2000817397" TargetMode="External"/><Relationship Id="rId37" Type="http://schemas.openxmlformats.org/officeDocument/2006/relationships/hyperlink" Target="https://www.investing.com/equities/dalian-rubber-ratios" TargetMode="External"/><Relationship Id="rId53" Type="http://schemas.openxmlformats.org/officeDocument/2006/relationships/hyperlink" Target="https://cbonds.com/news/3547027/" TargetMode="External"/><Relationship Id="rId58" Type="http://schemas.openxmlformats.org/officeDocument/2006/relationships/hyperlink" Target="http://notice.10jqka.com.cn/api/pdf/84786f2787597172.pdf" TargetMode="External"/><Relationship Id="rId74" Type="http://schemas.openxmlformats.org/officeDocument/2006/relationships/hyperlink" Target="https://multiples.vc/public-comps/hengli-petrochemical-valuation-multiples" TargetMode="External"/><Relationship Id="rId79" Type="http://schemas.openxmlformats.org/officeDocument/2006/relationships/hyperlink" Target="https://www.globaldata.com/store/report/purified-terephthalic-acid-pta-industry-outlook-in-china-to-2025-market-size-company-share-price-trends-capacity-forecasts-of-all-active-and-planned-plants/" TargetMode="External"/><Relationship Id="rId102" Type="http://schemas.openxmlformats.org/officeDocument/2006/relationships/hyperlink" Target="https://tradingeconomics.com/600346:ch:debt" TargetMode="External"/><Relationship Id="rId123" Type="http://schemas.openxmlformats.org/officeDocument/2006/relationships/hyperlink" Target="https://www.ainvest.com/news/hengli-petrochemical-24-profit-decline-cyclical-woe-strategic-buying-opportunity-2508/" TargetMode="External"/><Relationship Id="rId128" Type="http://schemas.openxmlformats.org/officeDocument/2006/relationships/hyperlink" Target="https://seekingalpha.com/article/4817342-sinopec-shanghai-petrochemical-company-limited-sptjf-q2-2025-earnings-call-transcript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sustainalytics.com/esg-rating/hengli-petrochemical-co-ltd/2000817397" TargetMode="External"/><Relationship Id="rId95" Type="http://schemas.openxmlformats.org/officeDocument/2006/relationships/hyperlink" Target="https://www.ainvest.com/news/hengli-petrochemical-24-profit-decline-cyclical-woe-strategic-opportunity-2508/" TargetMode="External"/><Relationship Id="rId22" Type="http://schemas.openxmlformats.org/officeDocument/2006/relationships/hyperlink" Target="http://notice.10jqka.com.cn/api/pdf/84786f2787597172.pdf" TargetMode="External"/><Relationship Id="rId27" Type="http://schemas.openxmlformats.org/officeDocument/2006/relationships/hyperlink" Target="https://dcfmodeling.com/blogs/history/600346ss-history-mission-ownership" TargetMode="External"/><Relationship Id="rId43" Type="http://schemas.openxmlformats.org/officeDocument/2006/relationships/hyperlink" Target="https://dcfmodeling.com/blogs/history/600346ss-history-mission-ownership" TargetMode="External"/><Relationship Id="rId48" Type="http://schemas.openxmlformats.org/officeDocument/2006/relationships/hyperlink" Target="https://pmarketresearch.com/review-of-production-and-marketing-of-pta-industry-in-china-and-analysis-of-price-trend-in-2020/" TargetMode="External"/><Relationship Id="rId64" Type="http://schemas.openxmlformats.org/officeDocument/2006/relationships/hyperlink" Target="https://www.ainvest.com/news/hengli-petrochemical-24-profit-decline-cyclical-woe-strategic-opportunity-2508/" TargetMode="External"/><Relationship Id="rId69" Type="http://schemas.openxmlformats.org/officeDocument/2006/relationships/hyperlink" Target="https://pmarketresearch.com/review-of-production-and-marketing-of-pta-industry-in-china-and-analysis-of-price-trend-in-2020/" TargetMode="External"/><Relationship Id="rId113" Type="http://schemas.openxmlformats.org/officeDocument/2006/relationships/hyperlink" Target="https://investor.galaxy.com/news/news-details/2025/Galaxy-Announces-Second-Quarter-2025-Financial-Results/default.aspx" TargetMode="External"/><Relationship Id="rId118" Type="http://schemas.openxmlformats.org/officeDocument/2006/relationships/hyperlink" Target="https://www.moomoo.com/news/post/53657463/is-hengli-petrochemicalltd-shse-600346-a-risky-investment" TargetMode="External"/><Relationship Id="rId134" Type="http://schemas.openxmlformats.org/officeDocument/2006/relationships/hyperlink" Target="https://uk.finance.yahoo.com/research/stock-forecast/MS?symbols=MS" TargetMode="External"/><Relationship Id="rId80" Type="http://schemas.openxmlformats.org/officeDocument/2006/relationships/hyperlink" Target="https://www.globaldata.com/store/report/purified-terephthalic-acid-pta-industry-outlook-in-china-to-2025-market-size-company-share-price-trends-capacity-forecasts-of-all-active-and-planned-plants/" TargetMode="External"/><Relationship Id="rId85" Type="http://schemas.openxmlformats.org/officeDocument/2006/relationships/hyperlink" Target="https://www.sustainalytics.com/esg-rating/hengli-petrochemical-co-ltd/2000817397" TargetMode="External"/><Relationship Id="rId12" Type="http://schemas.openxmlformats.org/officeDocument/2006/relationships/hyperlink" Target="https://camaltd.com/hengli-group/" TargetMode="External"/><Relationship Id="rId17" Type="http://schemas.openxmlformats.org/officeDocument/2006/relationships/hyperlink" Target="https://www.investing.com/equities/dalian-rubber-financial-summary" TargetMode="External"/><Relationship Id="rId33" Type="http://schemas.openxmlformats.org/officeDocument/2006/relationships/hyperlink" Target="https://www.ainvest.com/news/hengli-petrochemical-24-profit-decline-cyclical-woe-strategic-opportunity-2508/" TargetMode="External"/><Relationship Id="rId38" Type="http://schemas.openxmlformats.org/officeDocument/2006/relationships/hyperlink" Target="https://www.investing.com/equities/dalian-rubber-ratios" TargetMode="External"/><Relationship Id="rId59" Type="http://schemas.openxmlformats.org/officeDocument/2006/relationships/hyperlink" Target="https://dcfmodeling.com/blogs/vision/600346ss-mission-vision" TargetMode="External"/><Relationship Id="rId103" Type="http://schemas.openxmlformats.org/officeDocument/2006/relationships/hyperlink" Target="https://www.investing.com/equities/dalian-rubber-ratios" TargetMode="External"/><Relationship Id="rId108" Type="http://schemas.openxmlformats.org/officeDocument/2006/relationships/hyperlink" Target="https://stockn.xueqiu.com/SH600346/20250519294199.pdf" TargetMode="External"/><Relationship Id="rId124" Type="http://schemas.openxmlformats.org/officeDocument/2006/relationships/hyperlink" Target="https://simplywall.st/stocks/cn/materials/shse-600346/hengli-petrochemicalltd-shares/news/hengli-petrochemicalltd-shse600346-seems-to-be-using-a-lot-o/amp" TargetMode="External"/><Relationship Id="rId129" Type="http://schemas.openxmlformats.org/officeDocument/2006/relationships/hyperlink" Target="https://www.investing.com/news/analyst-ratings/morgan-stanley-raises-goldman-sachs-stock-price-target-to-706-on-higher-revenue-outlook-93CH-4139231" TargetMode="External"/><Relationship Id="rId54" Type="http://schemas.openxmlformats.org/officeDocument/2006/relationships/hyperlink" Target="https://www.futunn.com/en/stock/600346-SH/earnings" TargetMode="External"/><Relationship Id="rId70" Type="http://schemas.openxmlformats.org/officeDocument/2006/relationships/hyperlink" Target="https://dcfmodeling.com/blogs/history/600346ss-history-mission-ownership" TargetMode="External"/><Relationship Id="rId75" Type="http://schemas.openxmlformats.org/officeDocument/2006/relationships/hyperlink" Target="https://pdf.dfcfw.com/pdf/H2_AN202405131632949750_1.pdf" TargetMode="External"/><Relationship Id="rId91" Type="http://schemas.openxmlformats.org/officeDocument/2006/relationships/hyperlink" Target="https://dcfmodeling.com/blogs/vision/600346ss-mission-vision" TargetMode="External"/><Relationship Id="rId96" Type="http://schemas.openxmlformats.org/officeDocument/2006/relationships/hyperlink" Target="https://dcfmodeling.com/blogs/history/600346ss-history-mission-ownersh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notice.10jqka.com.cn/api/pdf/84786f2787597172.pdf" TargetMode="External"/><Relationship Id="rId28" Type="http://schemas.openxmlformats.org/officeDocument/2006/relationships/hyperlink" Target="https://dcfmodeling.com/blogs/vision/600346ss-mission-vision" TargetMode="External"/><Relationship Id="rId49" Type="http://schemas.openxmlformats.org/officeDocument/2006/relationships/hyperlink" Target="https://dcfmodeling.com/blogs/vision/600346ss-mission-vision" TargetMode="External"/><Relationship Id="rId114" Type="http://schemas.openxmlformats.org/officeDocument/2006/relationships/hyperlink" Target="https://www.wsj.com/market-data/quotes/CN/XSHG/600346/financials" TargetMode="External"/><Relationship Id="rId119" Type="http://schemas.openxmlformats.org/officeDocument/2006/relationships/hyperlink" Target="https://eulerpool.com/en/stock/Hengli-Petrochemical-Stock-CNE0000018V0/Equity" TargetMode="External"/><Relationship Id="rId44" Type="http://schemas.openxmlformats.org/officeDocument/2006/relationships/hyperlink" Target="https://www.ainvest.com/news/hengli-petrochemical-24-profit-decline-cyclical-woe-strategic-opportunity-2508/" TargetMode="External"/><Relationship Id="rId60" Type="http://schemas.openxmlformats.org/officeDocument/2006/relationships/hyperlink" Target="https://dcfmodeling.com/blogs/history/600346ss-history-mission-ownership" TargetMode="External"/><Relationship Id="rId65" Type="http://schemas.openxmlformats.org/officeDocument/2006/relationships/hyperlink" Target="https://www.investing.com/equities/dalian-rubber-ratios" TargetMode="External"/><Relationship Id="rId81" Type="http://schemas.openxmlformats.org/officeDocument/2006/relationships/hyperlink" Target="https://sg.finance.yahoo.com/quote/600346.SS/" TargetMode="External"/><Relationship Id="rId86" Type="http://schemas.openxmlformats.org/officeDocument/2006/relationships/hyperlink" Target="https://sg.finance.yahoo.com/quote/600346.SS/" TargetMode="External"/><Relationship Id="rId130" Type="http://schemas.openxmlformats.org/officeDocument/2006/relationships/hyperlink" Target="https://www.nasdaq.com/articles/caleres-cal-q2-2025-earnings-call-transcript" TargetMode="External"/><Relationship Id="rId135" Type="http://schemas.openxmlformats.org/officeDocument/2006/relationships/hyperlink" Target="https://www.maiaresearch.com/market-report/Chemicals/Global-Pta-Consumption-Market-Research-Report-2013-2025-of-Major-Types--Applications-and-Competitive-Vendors-in-Top-Regions-and-Countries-735701.html" TargetMode="External"/><Relationship Id="rId13" Type="http://schemas.openxmlformats.org/officeDocument/2006/relationships/hyperlink" Target="https://www.sustainalytics.com/esg-rating/hengli-petrochemical-co-ltd/2000817397" TargetMode="External"/><Relationship Id="rId18" Type="http://schemas.openxmlformats.org/officeDocument/2006/relationships/hyperlink" Target="https://pmarketresearch.com/review-of-production-and-marketing-of-pta-industry-in-china-and-analysis-of-price-trend-in-2020/" TargetMode="External"/><Relationship Id="rId39" Type="http://schemas.openxmlformats.org/officeDocument/2006/relationships/hyperlink" Target="https://www.investing.com/equities/dalian-rubber-ratios" TargetMode="External"/><Relationship Id="rId109" Type="http://schemas.openxmlformats.org/officeDocument/2006/relationships/hyperlink" Target="https://www.globaldata.com/store/report/purified-terephthalic-acid-pta-industry-outlook-in-china-to-2025-market-size-company-share-price-trends-capacity-forecasts-of-all-active-and-planned-plants/" TargetMode="External"/><Relationship Id="rId34" Type="http://schemas.openxmlformats.org/officeDocument/2006/relationships/hyperlink" Target="https://dcfmodeling.com/blogs/history/600346ss-history-mission-ownership" TargetMode="External"/><Relationship Id="rId50" Type="http://schemas.openxmlformats.org/officeDocument/2006/relationships/hyperlink" Target="https://dcfmodeling.com/blogs/history/600346ss-history-mission-ownership" TargetMode="External"/><Relationship Id="rId55" Type="http://schemas.openxmlformats.org/officeDocument/2006/relationships/hyperlink" Target="https://sg.finance.yahoo.com/quote/600346.SS/" TargetMode="External"/><Relationship Id="rId76" Type="http://schemas.openxmlformats.org/officeDocument/2006/relationships/hyperlink" Target="https://pdf.dfcfw.com/pdf/H2_AN202405131632949750_1.pdf" TargetMode="External"/><Relationship Id="rId97" Type="http://schemas.openxmlformats.org/officeDocument/2006/relationships/hyperlink" Target="https://pmarketresearch.com/review-of-production-and-marketing-of-pta-industry-in-china-and-analysis-of-price-trend-in-2020/" TargetMode="External"/><Relationship Id="rId104" Type="http://schemas.openxmlformats.org/officeDocument/2006/relationships/hyperlink" Target="https://cbonds.com/news/3547027/" TargetMode="External"/><Relationship Id="rId120" Type="http://schemas.openxmlformats.org/officeDocument/2006/relationships/hyperlink" Target="https://stockanalysis.com/quote/sha/600346/financials/ratios/" TargetMode="External"/><Relationship Id="rId125" Type="http://schemas.openxmlformats.org/officeDocument/2006/relationships/hyperlink" Target="https://markets.ft.com/data/equities/tearsheet/profile?s=600346%3ASHH" TargetMode="External"/><Relationship Id="rId7" Type="http://schemas.openxmlformats.org/officeDocument/2006/relationships/hyperlink" Target="https://sg.finance.yahoo.com/quote/600346.SS/" TargetMode="External"/><Relationship Id="rId71" Type="http://schemas.openxmlformats.org/officeDocument/2006/relationships/hyperlink" Target="https://pmarketresearch.com/review-of-production-and-marketing-of-pta-industry-in-china-and-analysis-of-price-trend-in-2020/" TargetMode="External"/><Relationship Id="rId92" Type="http://schemas.openxmlformats.org/officeDocument/2006/relationships/hyperlink" Target="https://www.jlcint.com/news/4853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vesting.com/equities/dalian-rubber-ratios" TargetMode="External"/><Relationship Id="rId24" Type="http://schemas.openxmlformats.org/officeDocument/2006/relationships/hyperlink" Target="https://tradingeconomics.com/600346:ch:debt" TargetMode="External"/><Relationship Id="rId40" Type="http://schemas.openxmlformats.org/officeDocument/2006/relationships/hyperlink" Target="https://dcfmodeling.com/blogs/history/600346ss-history-mission-ownership" TargetMode="External"/><Relationship Id="rId45" Type="http://schemas.openxmlformats.org/officeDocument/2006/relationships/hyperlink" Target="https://www.sustainalytics.com/esg-rating/hengli-petrochemical-co-ltd/2000817397" TargetMode="External"/><Relationship Id="rId66" Type="http://schemas.openxmlformats.org/officeDocument/2006/relationships/hyperlink" Target="https://pmarketresearch.com/review-of-production-and-marketing-of-pta-industry-in-china-and-analysis-of-price-trend-in-2020/" TargetMode="External"/><Relationship Id="rId87" Type="http://schemas.openxmlformats.org/officeDocument/2006/relationships/hyperlink" Target="https://multiples.vc/public-comps/hengli-petrochemical-valuation-multiples" TargetMode="External"/><Relationship Id="rId110" Type="http://schemas.openxmlformats.org/officeDocument/2006/relationships/hyperlink" Target="https://www.marketresearchstore.com/market-insights/pta-market-799796" TargetMode="External"/><Relationship Id="rId115" Type="http://schemas.openxmlformats.org/officeDocument/2006/relationships/hyperlink" Target="https://hk.finance.yahoo.com/quote/600346.SS/profile/" TargetMode="External"/><Relationship Id="rId131" Type="http://schemas.openxmlformats.org/officeDocument/2006/relationships/hyperlink" Target="https://finance.yahoo.com/news/morgan-stanley-lifts-goldman-sachs-054045630.html" TargetMode="External"/><Relationship Id="rId136" Type="http://schemas.openxmlformats.org/officeDocument/2006/relationships/hyperlink" Target="https://www.moomoo.com/news/post/56511577/goldman-sachs-adjusts-price-target-on-morgan-stanley-to-145" TargetMode="External"/><Relationship Id="rId61" Type="http://schemas.openxmlformats.org/officeDocument/2006/relationships/hyperlink" Target="https://www.investing.com/equities/dalian-rubber-ratios" TargetMode="External"/><Relationship Id="rId82" Type="http://schemas.openxmlformats.org/officeDocument/2006/relationships/hyperlink" Target="https://www.investing.com/equities/dalian-rubber-financial-summary" TargetMode="External"/><Relationship Id="rId19" Type="http://schemas.openxmlformats.org/officeDocument/2006/relationships/hyperlink" Target="https://forum.ccfgroup.com/2025/wap/disp.php?id=2816" TargetMode="External"/><Relationship Id="rId14" Type="http://schemas.openxmlformats.org/officeDocument/2006/relationships/hyperlink" Target="https://qxb-pdf-osscache.qixin.com/AnBaseinfo/41e79af386903a397aebef6db1a4afa7.pdf" TargetMode="External"/><Relationship Id="rId30" Type="http://schemas.openxmlformats.org/officeDocument/2006/relationships/hyperlink" Target="https://www.ainvest.com/news/hengli-petrochemical-24-profit-decline-cyclical-woe-strategic-opportunity-2508/" TargetMode="External"/><Relationship Id="rId35" Type="http://schemas.openxmlformats.org/officeDocument/2006/relationships/hyperlink" Target="https://www.reuters.com/markets/companies/600346.SS/" TargetMode="External"/><Relationship Id="rId56" Type="http://schemas.openxmlformats.org/officeDocument/2006/relationships/hyperlink" Target="https://www.bloomberg.com/news/articles/2025-08-29/goldman-boosts-china-stock-targets-as-morgan-stanley-flags-risks" TargetMode="External"/><Relationship Id="rId77" Type="http://schemas.openxmlformats.org/officeDocument/2006/relationships/hyperlink" Target="https://global.hengli.com/" TargetMode="External"/><Relationship Id="rId100" Type="http://schemas.openxmlformats.org/officeDocument/2006/relationships/hyperlink" Target="https://www.moomoo.com/news/post/51861966/hengli-petrochemical-earnings-in-the-first-quarter-of-2025-are" TargetMode="External"/><Relationship Id="rId105" Type="http://schemas.openxmlformats.org/officeDocument/2006/relationships/hyperlink" Target="https://www.futunn.com/en/stock/600346-SH/earnings" TargetMode="External"/><Relationship Id="rId126" Type="http://schemas.openxmlformats.org/officeDocument/2006/relationships/hyperlink" Target="https://www.marketscreener.com/quote/stock/HENGLI-PETROCHEMICAL-CO-L-9949945/calendar/" TargetMode="External"/><Relationship Id="rId8" Type="http://schemas.openxmlformats.org/officeDocument/2006/relationships/hyperlink" Target="https://multiples.vc/public-comps/hengli-petrochemical-valuation-multiples" TargetMode="External"/><Relationship Id="rId51" Type="http://schemas.openxmlformats.org/officeDocument/2006/relationships/hyperlink" Target="https://www.ainvest.com/news/hengli-petrochemical-24-profit-decline-cyclical-woe-strategic-opportunity-2508/" TargetMode="External"/><Relationship Id="rId72" Type="http://schemas.openxmlformats.org/officeDocument/2006/relationships/hyperlink" Target="https://pmarketresearch.com/review-of-production-and-marketing-of-pta-industry-in-china-and-analysis-of-price-trend-in-2020/" TargetMode="External"/><Relationship Id="rId93" Type="http://schemas.openxmlformats.org/officeDocument/2006/relationships/hyperlink" Target="http://notice.10jqka.com.cn/api/pdf/84786f2787597172.pdf" TargetMode="External"/><Relationship Id="rId98" Type="http://schemas.openxmlformats.org/officeDocument/2006/relationships/hyperlink" Target="https://qxb-pdf-osscache.qixin.com/AnBaseinfo/41e79af386903a397aebef6db1a4afa7.pdf" TargetMode="External"/><Relationship Id="rId121" Type="http://schemas.openxmlformats.org/officeDocument/2006/relationships/hyperlink" Target="https://news.futunn.com/en/post/55743346/hengli-petrochemical-earnings-in-the-first-quarter-of-2025-ar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orum.ccfgroup.com/2025/wap/disp.php?id=2816" TargetMode="External"/><Relationship Id="rId46" Type="http://schemas.openxmlformats.org/officeDocument/2006/relationships/hyperlink" Target="https://pmarketresearch.com/review-of-production-and-marketing-of-pta-industry-in-china-and-analysis-of-price-trend-in-2020/" TargetMode="External"/><Relationship Id="rId67" Type="http://schemas.openxmlformats.org/officeDocument/2006/relationships/hyperlink" Target="https://pmarketresearch.com/review-of-production-and-marketing-of-pta-industry-in-china-and-analysis-of-price-trend-in-2020/" TargetMode="External"/><Relationship Id="rId116" Type="http://schemas.openxmlformats.org/officeDocument/2006/relationships/hyperlink" Target="https://www.futunn.com/en/stock/600346-SH/financials-key-indicators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pmarketresearch.com/review-of-production-and-marketing-of-pta-industry-in-china-and-analysis-of-price-trend-in-2020/" TargetMode="External"/><Relationship Id="rId41" Type="http://schemas.openxmlformats.org/officeDocument/2006/relationships/hyperlink" Target="https://forum.ccfgroup.com/2025/wap/disp.php?id=2816" TargetMode="External"/><Relationship Id="rId62" Type="http://schemas.openxmlformats.org/officeDocument/2006/relationships/hyperlink" Target="https://www.ainvest.com/news/hengli-petrochemical-24-profit-decline-cyclical-woe-strategic-opportunity-2508/" TargetMode="External"/><Relationship Id="rId83" Type="http://schemas.openxmlformats.org/officeDocument/2006/relationships/hyperlink" Target="https://www.reuters.com/markets/us/goldman-sachs-forecasts-sp-500-target-6500-2025-end-joins-morgan-stanley-2024-11-19/" TargetMode="External"/><Relationship Id="rId88" Type="http://schemas.openxmlformats.org/officeDocument/2006/relationships/hyperlink" Target="https://global.hengli.com/" TargetMode="External"/><Relationship Id="rId111" Type="http://schemas.openxmlformats.org/officeDocument/2006/relationships/hyperlink" Target="https://www.reuters.com/markets/us/goldman-sachs-forecasts-sp-500-target-6500-2025-end-joins-morgan-stanley-2024-11-19/" TargetMode="External"/><Relationship Id="rId132" Type="http://schemas.openxmlformats.org/officeDocument/2006/relationships/hyperlink" Target="https://es.chinapbt.net/news/forecast-of-china-s-pta-market-trend-in-55019840.html" TargetMode="External"/><Relationship Id="rId15" Type="http://schemas.openxmlformats.org/officeDocument/2006/relationships/hyperlink" Target="https://www.investing.com/equities/dalian-rubber-financial-summary" TargetMode="External"/><Relationship Id="rId36" Type="http://schemas.openxmlformats.org/officeDocument/2006/relationships/hyperlink" Target="https://www.ainvest.com/news/hengli-petrochemical-24-profit-decline-cyclical-woe-strategic-opportunity-2508/" TargetMode="External"/><Relationship Id="rId57" Type="http://schemas.openxmlformats.org/officeDocument/2006/relationships/hyperlink" Target="https://www.sustainalytics.com/esg-rating/hengli-petrochemical-co-ltd/2000817397" TargetMode="External"/><Relationship Id="rId106" Type="http://schemas.openxmlformats.org/officeDocument/2006/relationships/hyperlink" Target="https://www.bloomberg.com/news/articles/2025-08-29/goldman-boosts-china-stock-targets-as-morgan-stanley-flags-risks" TargetMode="External"/><Relationship Id="rId127" Type="http://schemas.openxmlformats.org/officeDocument/2006/relationships/hyperlink" Target="https://fortune.com/company/delek-us-holdings/earnings/q2-2025/" TargetMode="External"/><Relationship Id="rId10" Type="http://schemas.openxmlformats.org/officeDocument/2006/relationships/hyperlink" Target="https://dcfmodeling.com/blogs/vision/600346ss-mission-vision" TargetMode="External"/><Relationship Id="rId31" Type="http://schemas.openxmlformats.org/officeDocument/2006/relationships/hyperlink" Target="https://www.ainvest.com/news/hengli-petrochemical-24-profit-decline-cyclical-woe-strategic-opportunity-2508/" TargetMode="External"/><Relationship Id="rId52" Type="http://schemas.openxmlformats.org/officeDocument/2006/relationships/hyperlink" Target="https://www.moomoo.com/news/post/51861966/hengli-petrochemical-earnings-in-the-first-quarter-of-2025-are" TargetMode="External"/><Relationship Id="rId73" Type="http://schemas.openxmlformats.org/officeDocument/2006/relationships/hyperlink" Target="https://dcfmodeling.com/blogs/vision/600346ss-mission-vision" TargetMode="External"/><Relationship Id="rId78" Type="http://schemas.openxmlformats.org/officeDocument/2006/relationships/hyperlink" Target="https://global.hengli.com/" TargetMode="External"/><Relationship Id="rId94" Type="http://schemas.openxmlformats.org/officeDocument/2006/relationships/hyperlink" Target="https://www.reuters.com/markets/companies/600346.SS/" TargetMode="External"/><Relationship Id="rId99" Type="http://schemas.openxmlformats.org/officeDocument/2006/relationships/hyperlink" Target="https://www.investing.com/equities/dalian-rubber-financial-summary" TargetMode="External"/><Relationship Id="rId101" Type="http://schemas.openxmlformats.org/officeDocument/2006/relationships/hyperlink" Target="https://forum.ccfgroup.com/2025/wap/disp.php?id=2816" TargetMode="External"/><Relationship Id="rId122" Type="http://schemas.openxmlformats.org/officeDocument/2006/relationships/hyperlink" Target="https://finance.yahoo.com/quote/MRK/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.hengli.com/" TargetMode="External"/><Relationship Id="rId26" Type="http://schemas.openxmlformats.org/officeDocument/2006/relationships/hyperlink" Target="https://pmarketresearch.com/review-of-production-and-marketing-of-pta-industry-in-china-and-analysis-of-price-trend-in-2020/" TargetMode="External"/><Relationship Id="rId47" Type="http://schemas.openxmlformats.org/officeDocument/2006/relationships/hyperlink" Target="https://www.investing.com/equities/dalian-rubber-ratios" TargetMode="External"/><Relationship Id="rId68" Type="http://schemas.openxmlformats.org/officeDocument/2006/relationships/hyperlink" Target="https://dcfmodeling.com/blogs/vision/600346ss-mission-vision" TargetMode="External"/><Relationship Id="rId89" Type="http://schemas.openxmlformats.org/officeDocument/2006/relationships/hyperlink" Target="https://camaltd.com/hengli-group/" TargetMode="External"/><Relationship Id="rId112" Type="http://schemas.openxmlformats.org/officeDocument/2006/relationships/hyperlink" Target="https://www.forbes.com/companies/hengli-petrochemical/" TargetMode="External"/><Relationship Id="rId133" Type="http://schemas.openxmlformats.org/officeDocument/2006/relationships/hyperlink" Target="https://www.futunn.com/en/stock/GS-US/forec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3840</Words>
  <Characters>21889</Characters>
  <Application>Microsoft Office Word</Application>
  <DocSecurity>0</DocSecurity>
  <Lines>182</Lines>
  <Paragraphs>51</Paragraphs>
  <ScaleCrop>false</ScaleCrop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2025-09-05T04:51:00Z</dcterms:created>
  <dcterms:modified xsi:type="dcterms:W3CDTF">2025-09-05T05:13:00Z</dcterms:modified>
</cp:coreProperties>
</file>