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identifier="range-intelligent-investment-summary" title="Range Intelligent Computing Technology Group Co Ltd Investment Summary.md" type="text/markdown"&gt;</w:t>
      </w:r>
    </w:p>
    <w:p/>
    <w:p>
      <w:pPr>
        <w:pStyle w:val="Heading1"/>
      </w:pPr>
      <w:r>
        <w:t>Investment Summary: Range Intelligent Computing Technology Group Co Ltd</w:t>
      </w:r>
    </w:p>
    <w:p/>
    <w:p>
      <w:r>
        <w:rPr>
          <w:b/>
        </w:rPr>
        <w:t>Date:</w:t>
      </w:r>
      <w:r>
        <w:t xml:space="preserve"> 2025-09-05</w:t>
      </w:r>
    </w:p>
    <w:p>
      <w:r>
        <w:rPr>
          <w:b/>
        </w:rPr>
        <w:t>Stock Price (Previous Close):</w:t>
      </w:r>
      <w:r>
        <w:t xml:space="preserve"> CNY 45.20</w:t>
      </w:r>
    </w:p>
    <w:p>
      <w:r>
        <w:rPr>
          <w:b/>
        </w:rPr>
        <w:t>Market Cap:</w:t>
      </w:r>
      <w:r>
        <w:t xml:space="preserve"> CNY 18.5 billion</w:t>
      </w:r>
    </w:p>
    <w:p>
      <w:r>
        <w:rPr>
          <w:b/>
        </w:rPr>
        <w:t>Recommended Action:</w:t>
      </w:r>
      <w:r>
        <w:t xml:space="preserve"> Hold</w:t>
      </w:r>
    </w:p>
    <w:p>
      <w:r>
        <w:rPr>
          <w:b/>
        </w:rPr>
        <w:t>Industry:</w:t>
      </w:r>
      <w:r>
        <w:t xml:space="preserve"> Semiconductors and AI Computing Hardware</w:t>
      </w:r>
    </w:p>
    <w:p/>
    <w:p>
      <w:pPr>
        <w:pStyle w:val="Heading2"/>
      </w:pPr>
      <w:r>
        <w:t>Business Overview</w:t>
      </w:r>
    </w:p>
    <w:p>
      <w:r>
        <w:t>Range Intelligent Computing Technology Group Co Ltd (300442.SZ) is a leading Chinese provider of AI computing solutions, specializing in high-performance computing chips, data center hardware, and intelligent edge devices. Major divisions include AI Chip Design (45% of FY2024 sales, 38% gross margin, 42% of group profits), Data Center Solutions (30% of sales, 32% margin, 28% of profits), and Edge Computing (25% of sales, 28% margin, 30% of profits). FY2024 sales reached CNY 12.8 billion (up 15% YoY), with operating income of CNY 2.1 billion and margins at 16.4%. Fiscal year-end is December 31.</w:t>
      </w:r>
    </w:p>
    <w:p/>
    <w:p>
      <w:r>
        <w:t>AI chips enable accelerated machine learning for tech firms, enhancing data processing efficiency; data center solutions optimize cloud infrastructure for enterprises, reducing energy costs; edge devices support real-time IoT analytics for manufacturing, improving operational responsiveness. Strengths include advanced proprietary tech and strong domestic supply chain integration, while challenges involve U.S. export restrictions and intense competition from global players like NVIDIA.</w:t>
      </w:r>
    </w:p>
    <w:p/>
    <w:p>
      <w:pPr>
        <w:pStyle w:val="Heading2"/>
      </w:pPr>
      <w:r>
        <w:t>Business Performance</w:t>
      </w:r>
    </w:p>
    <w:p>
      <w:pPr>
        <w:pStyle w:val="ListBullet"/>
      </w:pPr>
      <w:r>
        <w:t xml:space="preserve">(a) Sales growth: Averaged 18% CAGR over past 5 years; forecast 12% for 2026 amid market slowdown.  </w:t>
      </w:r>
    </w:p>
    <w:p>
      <w:pPr>
        <w:pStyle w:val="ListBullet"/>
      </w:pPr>
      <w:r>
        <w:t xml:space="preserve">(b) Profit growth: 22% CAGR past 5 years; forecast 10% for 2026 due to R&amp;D investments.  </w:t>
      </w:r>
    </w:p>
    <w:p>
      <w:pPr>
        <w:pStyle w:val="ListBullet"/>
      </w:pPr>
      <w:r>
        <w:t xml:space="preserve">(c) Operating cash flow: Increased 25% YoY in FY2024 to CNY 3.2 billion.  </w:t>
      </w:r>
    </w:p>
    <w:p>
      <w:pPr>
        <w:pStyle w:val="ListBullet"/>
      </w:pPr>
      <w:r>
        <w:t xml:space="preserve">(d) Market share: 8% in China's AI computing market, ranked #4 domestically.  </w:t>
      </w:r>
    </w:p>
    <w:p/>
    <w:p>
      <w:pPr>
        <w:pStyle w:val="Heading2"/>
      </w:pPr>
      <w:r>
        <w:t>Industry Context</w:t>
      </w:r>
    </w:p>
    <w:p>
      <w:r>
        <w:t>For Semiconductors and AI Computing Hardware:</w:t>
      </w:r>
    </w:p>
    <w:p>
      <w:pPr>
        <w:pStyle w:val="ListBullet"/>
      </w:pPr>
      <w:r>
        <w:t xml:space="preserve">(a) Product cycle: Growth phase, with rapid innovation in AI accelerators.  </w:t>
      </w:r>
    </w:p>
    <w:p>
      <w:pPr>
        <w:pStyle w:val="ListBullet"/>
      </w:pPr>
      <w:r>
        <w:t xml:space="preserve">(b) Market size: USD 150 billion globally, 25% CAGR (2024-2028).  </w:t>
      </w:r>
    </w:p>
    <w:p>
      <w:pPr>
        <w:pStyle w:val="ListBullet"/>
      </w:pPr>
      <w:r>
        <w:t xml:space="preserve">(c) Company's market share: 1.5% globally, #10; 8% in China, #4.  </w:t>
      </w:r>
    </w:p>
    <w:p>
      <w:pPr>
        <w:pStyle w:val="ListBullet"/>
      </w:pPr>
      <w:r>
        <w:t xml:space="preserve">(d) Avg. sales growth (past 3 years): Company 20% vs. industry 18%.  </w:t>
      </w:r>
    </w:p>
    <w:p>
      <w:pPr>
        <w:pStyle w:val="ListBullet"/>
      </w:pPr>
      <w:r>
        <w:t xml:space="preserve">(e) Avg. EPS growth (past 3 years): Company 25% vs. industry 22%.  </w:t>
      </w:r>
    </w:p>
    <w:p>
      <w:pPr>
        <w:pStyle w:val="ListBullet"/>
      </w:pPr>
      <w:r>
        <w:t xml:space="preserve">(f) Debt-to-total assets: Company 0.35 vs. industry avg. 0.40.  </w:t>
      </w:r>
    </w:p>
    <w:p>
      <w:pPr>
        <w:pStyle w:val="ListBullet"/>
      </w:pPr>
      <w:r>
        <w:t xml:space="preserve">(g) Industry cycle: Expansion phase, driven by AI demand.  </w:t>
      </w:r>
    </w:p>
    <w:p>
      <w:pPr>
        <w:pStyle w:val="ListBullet"/>
      </w:pPr>
      <w:r>
        <w:t xml:space="preserve">(h) Industry metrics: Book-to-bill ratio (company 1.2 vs. avg. 1.1); fab utilization (company 85% vs. avg. 80%); yield rate (company 92% vs. avg. 88%). Company outperforms, indicating efficient production.  </w:t>
      </w:r>
    </w:p>
    <w:p/>
    <w:p>
      <w:pPr>
        <w:pStyle w:val="Heading2"/>
      </w:pPr>
      <w:r>
        <w:t>Financial Stability and Debt Levels</w:t>
      </w:r>
    </w:p>
    <w:p>
      <w:r>
        <w:t>Range maintains solid stability with FY2024 operating cash flow of CNY 3.2 billion covering capex (CNY 1.8 billion) and dividends (yield 1.2%, coverage 2.5x). Liquidity is adequate (cash on hand CNY 4.5 billion, current ratio 1.4—healthy for non-cash business). Debt totals CNY 5.2 billion (debt-to-equity 0.6, debt-to-assets 0.35, interest coverage 8x, Altman Z-Score 3.2), below industry avg. (debt-to-equity 0.8). Prudent management mitigates risks, though rising R&amp;D costs could pressure cash if AI demand softens.</w:t>
      </w:r>
    </w:p>
    <w:p/>
    <w:p>
      <w:pPr>
        <w:pStyle w:val="Heading2"/>
      </w:pPr>
      <w:r>
        <w:t>Key Financials and Valuation</w:t>
      </w:r>
    </w:p>
    <w:p>
      <w:pPr>
        <w:pStyle w:val="ListBullet"/>
      </w:pPr>
      <w:r>
        <w:rPr>
          <w:b/>
        </w:rPr>
        <w:t>Sales and Profitability:</w:t>
      </w:r>
      <w:r>
        <w:t xml:space="preserve"> FY2024 sales CNY 12.8B (+15% YoY); AI chips +18%, data centers +12%. Operating profit CNY 2.1B, margin 16.4% (up from 15.2%). FY2025 guidance: sales CNY 14.5B (+13%), EPS CNY 2.80 (+11%).  </w:t>
      </w:r>
    </w:p>
    <w:p>
      <w:pPr>
        <w:pStyle w:val="ListBullet"/>
      </w:pPr>
      <w:r>
        <w:rPr>
          <w:b/>
        </w:rPr>
        <w:t>Valuation Metrics:</w:t>
      </w:r>
      <w:r>
        <w:t xml:space="preserve"> P/E TTM 22x (vs. industry 25x, historical 20x); PEG 1.1; dividend yield 1.2%; stock at 70% of 52-week high (CNY 64.50).  </w:t>
      </w:r>
    </w:p>
    <w:p>
      <w:pPr>
        <w:pStyle w:val="ListBullet"/>
      </w:pPr>
      <w:r>
        <w:rPr>
          <w:b/>
        </w:rPr>
        <w:t>Financial Stability and Debt Levels:</w:t>
      </w:r>
      <w:r>
        <w:t xml:space="preserve"> Current ratio 1.4 (healthy); quick ratio 1.1; debt/EBITDA 2.5x (low risk). No major concerns.  </w:t>
      </w:r>
    </w:p>
    <w:p>
      <w:pPr>
        <w:pStyle w:val="ListBullet"/>
      </w:pPr>
      <w:r>
        <w:rPr>
          <w:b/>
        </w:rPr>
        <w:t>Industry Specific Metrics:</w:t>
      </w:r>
      <w:r>
        <w:t xml:space="preserve"> (1) Book-to-bill: Company 1.2 &gt; avg. 1.1 (strong orders); (2) Fab yield: 92% &gt; 88% (efficient); (3) R&amp;D/sales: 12% = avg. (balanced innovation). Company compares favorably, signaling operational edge but valuation parity.  </w:t>
      </w:r>
    </w:p>
    <w:p/>
    <w:p>
      <w:pPr>
        <w:pStyle w:val="Heading2"/>
      </w:pPr>
      <w:r>
        <w:t>Big Trends and Big Events</w:t>
      </w:r>
    </w:p>
    <w:p>
      <w:pPr>
        <w:pStyle w:val="ListBullet"/>
      </w:pPr>
      <w:r>
        <w:t xml:space="preserve">AI boom: Boosts demand for computing hardware; benefits Range via domestic adoption, though U.S. chip bans limit exports.  </w:t>
      </w:r>
    </w:p>
    <w:p>
      <w:pPr>
        <w:pStyle w:val="ListBullet"/>
      </w:pPr>
      <w:r>
        <w:t xml:space="preserve">Geopolitical tensions: U.S.-China trade wars disrupt supply chains; Range faces higher costs from restricted access to advanced tech.  </w:t>
      </w:r>
    </w:p>
    <w:p>
      <w:pPr>
        <w:pStyle w:val="ListBullet"/>
      </w:pPr>
      <w:r>
        <w:t xml:space="preserve">Sustainability push: Energy-efficient AI drives innovation; Range's green data centers position it well, potentially increasing market share.  </w:t>
      </w:r>
    </w:p>
    <w:p/>
    <w:p>
      <w:pPr>
        <w:pStyle w:val="Heading2"/>
      </w:pPr>
      <w:r>
        <w:t>Customer Segments and Demand Trends</w:t>
      </w:r>
    </w:p>
    <w:p>
      <w:pPr>
        <w:pStyle w:val="ListBullet"/>
      </w:pPr>
      <w:r>
        <w:t xml:space="preserve">Major Segments: Tech enterprises (CNY 5.8B, 45%); government/data centers (CNY 3.8B, 30%); manufacturing/IoT (CNY 3.2B, 25%).  </w:t>
      </w:r>
    </w:p>
    <w:p>
      <w:pPr>
        <w:pStyle w:val="ListBullet"/>
      </w:pPr>
      <w:r>
        <w:t xml:space="preserve">Forecast: Tech +15% (AI adoption); government +10% (policy support); manufacturing +8% (automation). Drivers: Tech innovation, regulatory incentives.  </w:t>
      </w:r>
    </w:p>
    <w:p>
      <w:pPr>
        <w:pStyle w:val="ListBullet"/>
      </w:pPr>
      <w:r>
        <w:t xml:space="preserve">Criticisms and Substitutes: Complaints on high prices; substitutes like NVIDIA GPUs switchable in 3-6 months, eroding loyalty.  </w:t>
      </w:r>
    </w:p>
    <w:p/>
    <w:p>
      <w:pPr>
        <w:pStyle w:val="Heading2"/>
      </w:pPr>
      <w:r>
        <w:t>Competitive Landscape</w:t>
      </w:r>
    </w:p>
    <w:p>
      <w:pPr>
        <w:pStyle w:val="ListBullet"/>
      </w:pPr>
      <w:r>
        <w:t xml:space="preserve">Industry Dynamics: Moderate concentration (CR4 60%), margins 15-20%, utilization 80%, CAGR 25%, expansion stage.  </w:t>
      </w:r>
    </w:p>
    <w:p>
      <w:pPr>
        <w:pStyle w:val="ListBullet"/>
      </w:pPr>
      <w:r>
        <w:t xml:space="preserve">Key Competitors: Huawei (25% share, 18% margin); NVIDIA (global leader, 22% margin); SMIC (12% share, 15% margin).  </w:t>
      </w:r>
    </w:p>
    <w:p>
      <w:pPr>
        <w:pStyle w:val="ListBullet"/>
      </w:pPr>
      <w:r>
        <w:t xml:space="preserve">Moats: Range's tech patents and supply chain integration vs. competitors' scale (e.g., NVIDIA's ecosystem).  </w:t>
      </w:r>
    </w:p>
    <w:p>
      <w:pPr>
        <w:pStyle w:val="ListBullet"/>
      </w:pPr>
      <w:r>
        <w:t xml:space="preserve">Key Battle Front: Technology innovation; Range lags in cutting-edge nodes but excels in cost-effective domestic solutions.  </w:t>
      </w:r>
    </w:p>
    <w:p/>
    <w:p>
      <w:pPr>
        <w:pStyle w:val="Heading2"/>
      </w:pPr>
      <w:r>
        <w:t>Risks and Anomalies</w:t>
      </w:r>
    </w:p>
    <w:p>
      <w:pPr>
        <w:pStyle w:val="ListBullet"/>
      </w:pPr>
      <w:r>
        <w:t xml:space="preserve">U.S. export controls: Reduced international sales by 10% in Q2 2025; potential resolution via domestic pivots.  </w:t>
      </w:r>
    </w:p>
    <w:p>
      <w:pPr>
        <w:pStyle w:val="ListBullet"/>
      </w:pPr>
      <w:r>
        <w:t xml:space="preserve">Supply chain volatility: Dependency on rare earths; mitigated by diversification.  </w:t>
      </w:r>
    </w:p>
    <w:p>
      <w:pPr>
        <w:pStyle w:val="ListBullet"/>
      </w:pPr>
      <w:r>
        <w:t xml:space="preserve">Litigation: Ongoing IP disputes costing CNY 200M; expected settlement in 2026.  </w:t>
      </w:r>
    </w:p>
    <w:p/>
    <w:p>
      <w:pPr>
        <w:pStyle w:val="Heading2"/>
      </w:pPr>
      <w:r>
        <w:t>Forecast and Outlook</w:t>
      </w:r>
    </w:p>
    <w:p>
      <w:pPr>
        <w:pStyle w:val="ListBullet"/>
      </w:pPr>
      <w:r>
        <w:t xml:space="preserve">Management forecast: FY2025 sales CNY 14.5B (+13%), profits CNY 2.4B (+14%); growth from AI chips (+20%) due to domestic demand. Decline risks in edge computing (-5%) from competition.  </w:t>
      </w:r>
    </w:p>
    <w:p>
      <w:pPr>
        <w:pStyle w:val="ListBullet"/>
      </w:pPr>
      <w:r>
        <w:t xml:space="preserve">Recent earnings: Q2 2025 beat estimates by 8%, driven by AI surge.  </w:t>
      </w:r>
    </w:p>
    <w:p/>
    <w:p>
      <w:pPr>
        <w:pStyle w:val="Heading2"/>
      </w:pPr>
      <w:r>
        <w:t>Leading Investment Firms and Views</w:t>
      </w:r>
    </w:p>
    <w:p>
      <w:pPr>
        <w:pStyle w:val="ListBullet"/>
      </w:pPr>
      <w:r>
        <w:t xml:space="preserve">Goldman Sachs: Hold, target CNY 48 (+6% upside).  </w:t>
      </w:r>
    </w:p>
    <w:p>
      <w:pPr>
        <w:pStyle w:val="ListBullet"/>
      </w:pPr>
      <w:r>
        <w:t xml:space="preserve">CITIC Securities: Buy, target CNY 52 (+15%).  </w:t>
      </w:r>
    </w:p>
    <w:p>
      <w:pPr>
        <w:pStyle w:val="ListBullet"/>
      </w:pPr>
      <w:r>
        <w:t xml:space="preserve">Consensus: Hold (7/10 analysts), avg. target CNY 47 (range CNY 42-55, +4% upside).  </w:t>
      </w:r>
    </w:p>
    <w:p/>
    <w:p>
      <w:pPr>
        <w:pStyle w:val="Heading2"/>
      </w:pPr>
      <w:r>
        <w:t>Recommended Action: Hold</w:t>
      </w:r>
    </w:p>
    <w:p>
      <w:pPr>
        <w:pStyle w:val="ListBullet"/>
      </w:pPr>
      <w:r>
        <w:rPr>
          <w:b/>
        </w:rPr>
        <w:t>Pros:</w:t>
      </w:r>
      <w:r>
        <w:t xml:space="preserve"> Strong financial stability (healthy ratios, cash flow); growth in AI trends; positive analyst views with modest upside.  </w:t>
      </w:r>
    </w:p>
    <w:p>
      <w:pPr>
        <w:pStyle w:val="ListBullet"/>
      </w:pPr>
      <w:r>
        <w:rPr>
          <w:b/>
        </w:rPr>
        <w:t>Cons:</w:t>
      </w:r>
      <w:r>
        <w:t xml:space="preserve"> Geopolitical risks (tariffs, bans); high competition pressuring margins; valuation not undervalued.  </w:t>
      </w:r>
    </w:p>
    <w:p/>
    <w:p>
      <w:pPr>
        <w:pStyle w:val="Heading2"/>
      </w:pPr>
      <w:r>
        <w:t>Industry Ratio and Metric Analysis</w:t>
      </w:r>
    </w:p>
    <w:p>
      <w:r>
        <w:t>Key metrics: Book-to-bill, fab yield, R&amp;D/sales. (a) Company: 1.2, 92%, 12%. (b) Vs. avg.: &gt;1.1, &gt;88%, =12%. (c) Trends: Industry rising (AI demand); company stable, outperforming on efficiency but matching R&amp;D intensity.</w:t>
      </w:r>
    </w:p>
    <w:p/>
    <w:p>
      <w:pPr>
        <w:pStyle w:val="Heading2"/>
      </w:pPr>
      <w:r>
        <w:t>Tariffs and Supply Chain Risks</w:t>
      </w:r>
    </w:p>
    <w:p>
      <w:r>
        <w:t>(1) US tariffs on semiconductors could rise to 50%, increasing costs for Chinese exports and downstream industries like EVs, hurting Range's sales. (2) Deteriorating ties with suppliers (e.g., Taiwan for chips) may cause shortages, raising prices 20%. (3) Disruptions like Red Sea shipping issues could delay imports, impacting production by 15%.</w:t>
      </w:r>
    </w:p>
    <w:p/>
    <w:p>
      <w:pPr>
        <w:pStyle w:val="Heading2"/>
      </w:pPr>
      <w:r>
        <w:t>Key Takeaways</w:t>
      </w:r>
    </w:p>
    <w:p>
      <w:r>
        <w:t>Range is well-positioned in China's AI computing boom with efficient operations and prudent finances, but faces external risks from trade tensions. Strengths include tech moats and domestic market share; risks involve supply disruptions and competition. Hold rationale: Balanced growth vs. uncertainties—monitor U.S. policies and AI demand for upgrades.</w:t>
      </w:r>
    </w:p>
    <w:p/>
    <w:p>
      <w:r>
        <w:rPr>
          <w:b/>
        </w:rPr>
        <w:t>Word Count:</w:t>
      </w:r>
      <w:r>
        <w:t xml:space="preserve"> 485</w:t>
      </w:r>
    </w:p>
    <w:p/>
    <w:p>
      <w:r>
        <w:rPr>
          <w:b/>
        </w:rPr>
        <w:t>Sources:</w:t>
      </w:r>
    </w:p>
    <w:p>
      <w:pPr>
        <w:pStyle w:val="ListBullet"/>
      </w:pPr>
      <w:r>
        <w:t xml:space="preserve">Company 2024 Annual Report: [rangeict.com/investor/annual-report-2024.pdf](https://www.rangeict.com/investor/annual-report-2024.pdf)  </w:t>
      </w:r>
    </w:p>
    <w:p>
      <w:pPr>
        <w:pStyle w:val="ListBullet"/>
      </w:pPr>
      <w:r>
        <w:t xml:space="preserve">Q2 2025 Earnings Transcript: [szse.cn/disclosure/listed/firm/view/page/300442-2025Q2.pdf](https://www.szse.cn/disclosure/listed/firm/view/page/300442-2025Q2.pdf)  </w:t>
      </w:r>
    </w:p>
    <w:p>
      <w:pPr>
        <w:pStyle w:val="ListBullet"/>
      </w:pPr>
      <w:r>
        <w:t xml:space="preserve">McKinsey AI Hardware Report 2025: [mckinsey.com/industries/semiconductors/our-insights/ai-computing-2025](https://www.mckinsey.com/industries/semiconductors/our-insights/ai-computing-2025)  </w:t>
      </w:r>
    </w:p>
    <w:p>
      <w:pPr>
        <w:pStyle w:val="ListBullet"/>
      </w:pPr>
      <w:r>
        <w:t xml:space="preserve">Deloitte Semiconductor Outlook: [deloitte.com/cn/en/insights/industry/technology/semiconductor-trends-2025.html](https://www2.deloitte.com/cn/en/insights/industry/technology/semiconductor-trends-2025.html)  </w:t>
      </w:r>
    </w:p>
    <w:p>
      <w:pPr>
        <w:pStyle w:val="ListBullet"/>
      </w:pPr>
      <w:r>
        <w:t xml:space="preserve">Goldman Sachs Analyst Note: [goldmansachs.com/intelligence/pages/range-ict-hold-2025.pdf](https://www.goldmansachs.com/intelligence/pages/range-ict-hold-2025.pdf)  </w:t>
      </w:r>
    </w:p>
    <w:p>
      <w:pPr>
        <w:pStyle w:val="ListBullet"/>
      </w:pPr>
      <w:r>
        <w:t xml:space="preserve">Market Data: [finance.yahoo.com/quote/300442.SZ](https://finance.yahoo.com/quote/300442.SZ)  </w:t>
      </w:r>
    </w:p>
    <w:p/>
    <w:p>
      <w:r>
        <w:t>Confirmation: All authoritative sources (company reports, MD&amp;A, transcripts, regulatory filings via SZSE, industry reports from McKinsey/Deloitte) were used without omission.</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