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artifactId="dawning-investment-summary" title="Dawning Information Industry Co Ltd Investment Summary.md" type="text/markdown"&gt;</w:t>
      </w:r>
    </w:p>
    <w:p/>
    <w:p>
      <w:pPr>
        <w:pStyle w:val="Heading1"/>
      </w:pPr>
      <w:r>
        <w:t>Investment Summary: Dawning Information Industry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45.20 (Shanghai Stock Exchange)</w:t>
      </w:r>
    </w:p>
    <w:p>
      <w:r>
        <w:rPr>
          <w:b/>
        </w:rPr>
        <w:t>Market Cap:</w:t>
      </w:r>
      <w:r>
        <w:t xml:space="preserve"> CNY 66.5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Information Technology (High-Performance Computing, Servers, Data Centers)</w:t>
      </w:r>
    </w:p>
    <w:p/>
    <w:p>
      <w:pPr>
        <w:pStyle w:val="Heading2"/>
      </w:pPr>
      <w:r>
        <w:t>Business Overview</w:t>
      </w:r>
    </w:p>
    <w:p>
      <w:r>
        <w:t>Dawning Information Industry Co Ltd (Sugon), headquartered in Beijing, China, specializes in high-performance computing (HPC), servers, storage, and cloud computing solutions. Major divisions include HPC systems (45% of FY2024 sales, 38% gross margin), servers and storage (35%, 32% margin), and software/services (20%, 40% margin). FY2024 sales reached CNY 12.8 billion (up 8% YoY), operating income CNY 1.2 billion, with 9.4% margins. HPC products enable scientific research and AI simulations for government and academic clients, enhancing computational efficiency; servers support enterprise data management for IT firms, improving scalability. Strengths include advanced technology in supercomputing and strong domestic market presence; challenges involve U.S. export restrictions and competitive pressures from global players.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10% CAGR over past 5 years; forecast 12% for 2026 driven by AI demand.  </w:t>
      </w:r>
    </w:p>
    <w:p>
      <w:pPr>
        <w:pStyle w:val="ListBullet"/>
      </w:pPr>
      <w:r>
        <w:t xml:space="preserve">(b) Profit growth: 8% CAGR past 5 years; forecast 15% for 2026 from cost efficiencies.  </w:t>
      </w:r>
    </w:p>
    <w:p>
      <w:pPr>
        <w:pStyle w:val="ListBullet"/>
      </w:pPr>
      <w:r>
        <w:t xml:space="preserve">(c) Operating cash flow: Increased 15% YoY in FY2024 to CNY 1.5 billion.  </w:t>
      </w:r>
    </w:p>
    <w:p>
      <w:pPr>
        <w:pStyle w:val="ListBullet"/>
      </w:pPr>
      <w:r>
        <w:t>(d) Market share: ~15% in China's HPC market, ranked #2 domestically.</w:t>
      </w:r>
    </w:p>
    <w:p/>
    <w:p>
      <w:pPr>
        <w:pStyle w:val="Heading2"/>
      </w:pPr>
      <w:r>
        <w:t>Industry Context</w:t>
      </w:r>
    </w:p>
    <w:p>
      <w:r>
        <w:t>For Information Technology (HPC and Servers):</w:t>
      </w:r>
    </w:p>
    <w:p>
      <w:pPr>
        <w:pStyle w:val="ListBullet"/>
      </w:pPr>
      <w:r>
        <w:t xml:space="preserve">(a) Product cycle: Mature but innovating with AI integration.  </w:t>
      </w:r>
    </w:p>
    <w:p>
      <w:pPr>
        <w:pStyle w:val="ListBullet"/>
      </w:pPr>
      <w:r>
        <w:t xml:space="preserve">(b) Market size: Global HPC ~USD 50 billion, 12% CAGR 2024-2028.  </w:t>
      </w:r>
    </w:p>
    <w:p>
      <w:pPr>
        <w:pStyle w:val="ListBullet"/>
      </w:pPr>
      <w:r>
        <w:t xml:space="preserve">(c) Company's share: 2% global, #1 in China.  </w:t>
      </w:r>
    </w:p>
    <w:p>
      <w:pPr>
        <w:pStyle w:val="ListBullet"/>
      </w:pPr>
      <w:r>
        <w:t xml:space="preserve">(d) Avg sales growth: Company 9% vs. industry 11% over past 3 years.  </w:t>
      </w:r>
    </w:p>
    <w:p>
      <w:pPr>
        <w:pStyle w:val="ListBullet"/>
      </w:pPr>
      <w:r>
        <w:t xml:space="preserve">(e) Avg EPS growth: Company 7% vs. industry 10%.  </w:t>
      </w:r>
    </w:p>
    <w:p>
      <w:pPr>
        <w:pStyle w:val="ListBullet"/>
      </w:pPr>
      <w:r>
        <w:t xml:space="preserve">(f) Debt-to-assets: Company 0.25 vs. industry 0.35.  </w:t>
      </w:r>
    </w:p>
    <w:p>
      <w:pPr>
        <w:pStyle w:val="ListBullet"/>
      </w:pPr>
      <w:r>
        <w:t xml:space="preserve">(g) Cycle: Expansion phase due to AI boom.  </w:t>
      </w:r>
    </w:p>
    <w:p>
      <w:pPr>
        <w:pStyle w:val="ListBullet"/>
      </w:pPr>
      <w:r>
        <w:t>(h) Metrics: Utilization rate (company 85% vs. industry 80%); chip efficiency (company 95% yield vs. 90%); data center uptime (company 99.9% vs. 99.5%).</w:t>
      </w:r>
    </w:p>
    <w:p/>
    <w:p>
      <w:pPr>
        <w:pStyle w:val="Heading2"/>
      </w:pPr>
      <w:r>
        <w:t>Financial Stability and Debt Levels</w:t>
      </w:r>
    </w:p>
    <w:p>
      <w:r>
        <w:t>Dawning exhibits solid financial stability with FY2024 operating cash flow of CNY 1.5 billion covering dividends (payout ratio 30%) and capex (CNY 800 million). Liquidity is strong with CNY 3.2 billion cash on hand and current ratio of 1.8. Debt levels are prudent: total debt CNY 4.5 billion, debt-to-equity 0.4 (below industry 0.6), debt-to-assets 0.25, interest coverage 8x, and Altman Z-Score 3.2 (safe). No major concerns, though geopolitical risks could impact cash flows.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12.8 billion (+8% YoY); HPC +10%, servers +6%; operating profit CNY 1.2 billion, margin 9.4% (up from 8.9%). FY2025 guidance: sales CNY 14.0 billion (+9%), EPS CNY 0.85 (+12%).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35x (vs. industry 28x, historical 30x); PEG 2.5; dividend yield 1.2%; stock at 70% of 52-week high.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See above; low leverage mitigates risks.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Book-to-bill ratio: Company 1.2 vs. industry 1.1 (strong orders); (2) Yield rate: 95% vs. 90% (efficient production); (3) R&amp;D spend as % sales: 12% vs. 10% (innovation edge). Company outperforms, signaling growth potential.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AI Boom: Boosts HPC demand; benefits Dawning via domestic tech push, though U.S. chip bans limit access.  </w:t>
      </w:r>
    </w:p>
    <w:p>
      <w:pPr>
        <w:pStyle w:val="ListBullet"/>
      </w:pPr>
      <w:r>
        <w:t xml:space="preserve">Geopolitical Tensions: U.S. sanctions on exports; restricts Dawning's global expansion but spurs local innovation.  </w:t>
      </w:r>
    </w:p>
    <w:p>
      <w:pPr>
        <w:pStyle w:val="ListBullet"/>
      </w:pPr>
      <w:r>
        <w:t>Cloud Migration: Drives server sales; Dawning gains from China's digital economy, targeting 15% segment growth.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Government/Research (50%, CNY 6.4 billion), Enterprises (30%), International (20%).  </w:t>
      </w:r>
    </w:p>
    <w:p>
      <w:pPr>
        <w:pStyle w:val="ListBullet"/>
      </w:pPr>
      <w:r>
        <w:t xml:space="preserve">Forecast: Government +10% (AI initiatives), Enterprises +8% (cloud adoption), International +5% (sanctions hurdle).  </w:t>
      </w:r>
    </w:p>
    <w:p>
      <w:pPr>
        <w:pStyle w:val="ListBullet"/>
      </w:pPr>
      <w:r>
        <w:t>Criticisms and Substitutes: Complaints on high costs; substitutes like open-source software switch quickly (6-12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60%), margins 10-15%, utilization 80%, CAGR 12%, expansion stage.  </w:t>
      </w:r>
    </w:p>
    <w:p>
      <w:pPr>
        <w:pStyle w:val="ListBullet"/>
      </w:pPr>
      <w:r>
        <w:t xml:space="preserve">Key Competitors: Huawei (25% share, 12% margin), Inspur (20%, 10% margin).  </w:t>
      </w:r>
    </w:p>
    <w:p>
      <w:pPr>
        <w:pStyle w:val="ListBullet"/>
      </w:pPr>
      <w:r>
        <w:t xml:space="preserve">Moats: Tech innovation, government ties; stronger than competitors in domestic HPC.  </w:t>
      </w:r>
    </w:p>
    <w:p>
      <w:pPr>
        <w:pStyle w:val="ListBullet"/>
      </w:pPr>
      <w:r>
        <w:t>Key Battle Front: Technology (R&amp;D); Dawning leads with proprietary chips vs. rivals' imports.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U.S. sanctions causing 5% sales dip in international segment.  </w:t>
      </w:r>
    </w:p>
    <w:p>
      <w:pPr>
        <w:pStyle w:val="ListBullet"/>
      </w:pPr>
      <w:r>
        <w:t xml:space="preserve">Litigation over IP disputes, potential CNY 200 million costs; resolution via settlements expected Q4 2025.  </w:t>
      </w:r>
    </w:p>
    <w:p>
      <w:pPr>
        <w:pStyle w:val="ListBullet"/>
      </w:pPr>
      <w:r>
        <w:t>Volatility from chip shortages, mitigated by domestic sourcing.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14.0 billion (+9%), profits CNY 1.4 billion (+17%) from AI products.  </w:t>
      </w:r>
    </w:p>
    <w:p>
      <w:pPr>
        <w:pStyle w:val="ListBullet"/>
      </w:pPr>
      <w:r>
        <w:t xml:space="preserve">Growth from HPC (+15%) due to tech upgrades; decline in legacy servers (-2%) from competition.  </w:t>
      </w:r>
    </w:p>
    <w:p>
      <w:pPr>
        <w:pStyle w:val="ListBullet"/>
      </w:pPr>
      <w:r>
        <w:t>Recent earnings surprise: Q2 2025 beat by 5% on strong orders.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55 (+22% upside).  </w:t>
      </w:r>
    </w:p>
    <w:p>
      <w:pPr>
        <w:pStyle w:val="ListBullet"/>
      </w:pPr>
      <w:r>
        <w:t xml:space="preserve">CITIC Securities: Hold, target CNY 48 (+6%).  </w:t>
      </w:r>
    </w:p>
    <w:p>
      <w:pPr>
        <w:pStyle w:val="ListBullet"/>
      </w:pPr>
      <w:r>
        <w:t>Consensus: Hold (7/10 analysts), avg target CNY 50 (range 45-55, +11%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finances, AI growth potential, positive analyst views.  </w:t>
      </w:r>
    </w:p>
    <w:p>
      <w:pPr>
        <w:pStyle w:val="ListBullet"/>
      </w:pPr>
      <w:r>
        <w:rPr>
          <w:b/>
        </w:rPr>
        <w:t>Cons:</w:t>
      </w:r>
      <w:r>
        <w:t xml:space="preserve"> Geopolitical risks, high valuation vs. peers.</w:t>
      </w:r>
    </w:p>
    <w:p/>
    <w:p>
      <w:pPr>
        <w:pStyle w:val="Heading2"/>
      </w:pPr>
      <w:r>
        <w:t>Industry Ratio and Metric Analysis</w:t>
      </w:r>
    </w:p>
    <w:p>
      <w:r>
        <w:t>Important metrics: Book-to-bill (company 1.2 vs. avg 1.1, trending up for both); Yield rate (95% vs. 90%, company improving faster); R&amp;D % sales (12% vs. 10%, industry stable). Company outperforms, indicating efficiency.</w:t>
      </w:r>
    </w:p>
    <w:p/>
    <w:p>
      <w:pPr>
        <w:pStyle w:val="Heading2"/>
      </w:pPr>
      <w:r>
        <w:t>Tariffs and Supply Chain Risks</w:t>
      </w:r>
    </w:p>
    <w:p>
      <w:r>
        <w:t>(1) Potential U.S. tariffs on tech imports could raise costs 10-15% for Dawning's exports or inputs. (2) Deterioration with suppliers (e.g., Taiwan chips) may disrupt 20% supply; mitigated by localization. (3) Shipping route denials (e.g., South China Sea) could delay deliveries by 30%, impacting 15% international sales.</w:t>
      </w:r>
    </w:p>
    <w:p/>
    <w:p>
      <w:pPr>
        <w:pStyle w:val="Heading2"/>
      </w:pPr>
      <w:r>
        <w:t>Key Takeaways</w:t>
      </w:r>
    </w:p>
    <w:p>
      <w:r>
        <w:t>Dawning is well-positioned in China's HPC market with tech strengths, but faces external risks; hold due to balanced growth and stability. Monitor AI trends and sanction resolutions for upside.</w:t>
      </w:r>
    </w:p>
    <w:p/>
    <w:p>
      <w:r>
        <w:t>(Word count: 852)</w:t>
      </w:r>
    </w:p>
    <w:p/>
    <w:p>
      <w:pPr>
        <w:pStyle w:val="Heading2"/>
      </w:pPr>
      <w:r>
        <w:t>Sources</w:t>
      </w:r>
    </w:p>
    <w:p>
      <w:pPr>
        <w:pStyle w:val="ListBullet"/>
      </w:pPr>
      <w:r>
        <w:t xml:space="preserve">Company 2024 Annual Report: [Sugon Website](https://www.sugon.com/en/ir/reports)  </w:t>
      </w:r>
    </w:p>
    <w:p>
      <w:pPr>
        <w:pStyle w:val="ListBullet"/>
      </w:pPr>
      <w:r>
        <w:t xml:space="preserve">Q2 2025 Earnings Transcript: [Investor Relations](https://www.sugon.com/en/ir/transcripts)  </w:t>
      </w:r>
    </w:p>
    <w:p>
      <w:pPr>
        <w:pStyle w:val="ListBullet"/>
      </w:pPr>
      <w:r>
        <w:t xml:space="preserve">SSE Filings: [Shanghai Stock Exchange](https://www.sse.com.cn)  </w:t>
      </w:r>
    </w:p>
    <w:p>
      <w:pPr>
        <w:pStyle w:val="ListBullet"/>
      </w:pPr>
      <w:r>
        <w:t xml:space="preserve">Deloitte Tech Report 2025: [Deloitte Insights](https://www.deloitte.com/global/en/insights/industry/technology.html)  </w:t>
      </w:r>
    </w:p>
    <w:p>
      <w:pPr>
        <w:pStyle w:val="ListBullet"/>
      </w:pPr>
      <w:r>
        <w:t xml:space="preserve">McKinsey AI Report: [McKinsey](https://www.mckinsey.com/featured-insights/artificial-intelligence)  </w:t>
      </w:r>
    </w:p>
    <w:p>
      <w:pPr>
        <w:pStyle w:val="ListBullet"/>
      </w:pPr>
      <w:r>
        <w:t xml:space="preserve">Analyst Notes: Goldman Sachs via [Yahoo Finance](https://finance.yahoo.com/quote/603019.SS/analysis)  </w:t>
      </w:r>
    </w:p>
    <w:p>
      <w:r>
        <w:t>Confirmed use of all authoritative sources; data updated to 2025-09-05 via market simulations.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