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identifier="goertek-investment-summary"&gt;</w:t>
      </w:r>
    </w:p>
    <w:p>
      <w:r>
        <w:t>&lt;content&gt;</w:t>
      </w:r>
    </w:p>
    <w:p>
      <w:r>
        <w:rPr>
          <w:rFonts w:ascii="Courier New" w:hAnsi="Courier New"/>
          <w:sz w:val="20"/>
        </w:rPr>
        <w:t># Investment Summary: Goertek Inc</w:t>
      </w:r>
    </w:p>
    <w:p/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(Previous Close):** CNY 18.50  </w:t>
      </w:r>
    </w:p>
    <w:p>
      <w:r>
        <w:rPr>
          <w:rFonts w:ascii="Courier New" w:hAnsi="Courier New"/>
          <w:sz w:val="20"/>
        </w:rPr>
        <w:t xml:space="preserve">**Market Cap:** CNY 62.3 billion  </w:t>
      </w:r>
    </w:p>
    <w:p>
      <w:r>
        <w:rPr>
          <w:rFonts w:ascii="Courier New" w:hAnsi="Courier New"/>
          <w:sz w:val="20"/>
        </w:rPr>
        <w:t xml:space="preserve">**Recommended Action:** Buy  </w:t>
      </w:r>
    </w:p>
    <w:p>
      <w:r>
        <w:rPr>
          <w:rFonts w:ascii="Courier New" w:hAnsi="Courier New"/>
          <w:sz w:val="20"/>
        </w:rPr>
        <w:t xml:space="preserve">**Industry:** Electronic Components Manufacturing, Consumer Electronics  </w:t>
      </w:r>
    </w:p>
    <w:p/>
    <w:p>
      <w:r>
        <w:rPr>
          <w:rFonts w:ascii="Courier New" w:hAnsi="Courier New"/>
          <w:sz w:val="20"/>
        </w:rPr>
        <w:t>## Business Overview</w:t>
      </w:r>
    </w:p>
    <w:p>
      <w:r>
        <w:rPr>
          <w:rFonts w:ascii="Courier New" w:hAnsi="Courier New"/>
          <w:sz w:val="20"/>
        </w:rPr>
        <w:t>Goertek Inc (002241.SZ) is a leading Chinese manufacturer of precision electro-acoustic components, smart hardware, and optical modules, operating through divisions like Acoustics (speakers, microphones), Optics (VR/AR lenses), Microelectronics (sensors), and Precision Components (wearables assembly). Key subsidiaries include Goertek Microelectronics and Goertek Optical; it's independent with no major parent. In FY2024 (ended Dec 31), sales reached CNY 98.5 billion (+5% YoY), operating income CNY 4.2 billion (margin 4.3%). Acoustics products enable high-fidelity audio in smartphones and earbuds for consumer electronics firms; Optics support immersive VR experiences for tech giants. Strengths include advanced R&amp;D in miniaturization and supply chain integration; challenges involve US-China trade tensions and raw material volatility. Acoustics: 45% of sales, 35% gross margin (40% of group profits); Optics: 25% of sales, 28% margin (25% profits); Microelectronics: 20% of sales, 30% margin (20% profits); Precision: 10% of sales, 25% margin (15% profits).</w:t>
      </w:r>
    </w:p>
    <w:p/>
    <w:p>
      <w:r>
        <w:rPr>
          <w:rFonts w:ascii="Courier New" w:hAnsi="Courier New"/>
          <w:sz w:val="20"/>
        </w:rPr>
        <w:t>## Business Performance</w:t>
      </w:r>
    </w:p>
    <w:p>
      <w:r>
        <w:rPr>
          <w:rFonts w:ascii="Courier New" w:hAnsi="Courier New"/>
          <w:sz w:val="20"/>
        </w:rPr>
        <w:t xml:space="preserve">- (a) Sales growth: +8% CAGR past 5 years; forecast +10% for 2026.  </w:t>
      </w:r>
    </w:p>
    <w:p>
      <w:r>
        <w:rPr>
          <w:rFonts w:ascii="Courier New" w:hAnsi="Courier New"/>
          <w:sz w:val="20"/>
        </w:rPr>
        <w:t xml:space="preserve">- (b) Profit growth: +6% CAGR past 5 years; forecast +12% for 2026.  </w:t>
      </w:r>
    </w:p>
    <w:p>
      <w:r>
        <w:rPr>
          <w:rFonts w:ascii="Courier New" w:hAnsi="Courier New"/>
          <w:sz w:val="20"/>
        </w:rPr>
        <w:t xml:space="preserve">- (c) Operating cash flow: +15% increase in FY2024 to CNY 6.8 billion.  </w:t>
      </w:r>
    </w:p>
    <w:p>
      <w:r>
        <w:rPr>
          <w:rFonts w:ascii="Courier New" w:hAnsi="Courier New"/>
          <w:sz w:val="20"/>
        </w:rPr>
        <w:t>- (d) Market share: ~12% in global acoustics; ranked #3 in VR components.</w:t>
      </w:r>
    </w:p>
    <w:p/>
    <w:p>
      <w:r>
        <w:rPr>
          <w:rFonts w:ascii="Courier New" w:hAnsi="Courier New"/>
          <w:sz w:val="20"/>
        </w:rPr>
        <w:t>## Industry Context</w:t>
      </w:r>
    </w:p>
    <w:p>
      <w:r>
        <w:rPr>
          <w:rFonts w:ascii="Courier New" w:hAnsi="Courier New"/>
          <w:sz w:val="20"/>
        </w:rPr>
        <w:t xml:space="preserve">For Electronic Components Manufacturing:  </w:t>
      </w:r>
    </w:p>
    <w:p>
      <w:r>
        <w:rPr>
          <w:rFonts w:ascii="Courier New" w:hAnsi="Courier New"/>
          <w:sz w:val="20"/>
        </w:rPr>
        <w:t xml:space="preserve">- (a) Mature cycle with innovation in miniaturization.  </w:t>
      </w:r>
    </w:p>
    <w:p>
      <w:r>
        <w:rPr>
          <w:rFonts w:ascii="Courier New" w:hAnsi="Courier New"/>
          <w:sz w:val="20"/>
        </w:rPr>
        <w:t xml:space="preserve">- (b) Market size $500B, CAGR +6% (2024-2028).  </w:t>
      </w:r>
    </w:p>
    <w:p>
      <w:r>
        <w:rPr>
          <w:rFonts w:ascii="Courier New" w:hAnsi="Courier New"/>
          <w:sz w:val="20"/>
        </w:rPr>
        <w:t xml:space="preserve">- (c) Goertek: 5% share, ranked top 10.  </w:t>
      </w:r>
    </w:p>
    <w:p>
      <w:r>
        <w:rPr>
          <w:rFonts w:ascii="Courier New" w:hAnsi="Courier New"/>
          <w:sz w:val="20"/>
        </w:rPr>
        <w:t xml:space="preserve">- (d) Company sales growth +7% vs. industry +5%.  </w:t>
      </w:r>
    </w:p>
    <w:p>
      <w:r>
        <w:rPr>
          <w:rFonts w:ascii="Courier New" w:hAnsi="Courier New"/>
          <w:sz w:val="20"/>
        </w:rPr>
        <w:t xml:space="preserve">- (e) EPS growth +8% vs. industry +6%.  </w:t>
      </w:r>
    </w:p>
    <w:p>
      <w:r>
        <w:rPr>
          <w:rFonts w:ascii="Courier New" w:hAnsi="Courier New"/>
          <w:sz w:val="20"/>
        </w:rPr>
        <w:t xml:space="preserve">- (f) Debt-to-assets 0.35 vs. industry 0.40.  </w:t>
      </w:r>
    </w:p>
    <w:p>
      <w:r>
        <w:rPr>
          <w:rFonts w:ascii="Courier New" w:hAnsi="Courier New"/>
          <w:sz w:val="20"/>
        </w:rPr>
        <w:t xml:space="preserve">- (g) Expansion phase driven by AI and 5G.  </w:t>
      </w:r>
    </w:p>
    <w:p>
      <w:r>
        <w:rPr>
          <w:rFonts w:ascii="Courier New" w:hAnsi="Courier New"/>
          <w:sz w:val="20"/>
        </w:rPr>
        <w:t xml:space="preserve">- (h) Metrics: Utilization rate (Goertek 85% vs. 80% avg); defect rate (1.2% vs. 1.5% avg); R&amp;D spend/sales (8% vs. 6% avg) – Goertek outperforms on efficiency.  </w:t>
      </w:r>
    </w:p>
    <w:p/>
    <w:p>
      <w:r>
        <w:rPr>
          <w:rFonts w:ascii="Courier New" w:hAnsi="Courier New"/>
          <w:sz w:val="20"/>
        </w:rPr>
        <w:t>For Consumer Electronics: Similar metrics; expansion via wearables boom.</w:t>
      </w:r>
    </w:p>
    <w:p/>
    <w:p>
      <w:r>
        <w:rPr>
          <w:rFonts w:ascii="Courier New" w:hAnsi="Courier New"/>
          <w:sz w:val="20"/>
        </w:rPr>
        <w:t>## Financial Stability and Debt Levels</w:t>
      </w:r>
    </w:p>
    <w:p>
      <w:r>
        <w:rPr>
          <w:rFonts w:ascii="Courier New" w:hAnsi="Courier New"/>
          <w:sz w:val="20"/>
        </w:rPr>
        <w:t>Goertek exhibits strong stability with operating cash flow of CNY 6.8 billion in FY2024 covering dividends (payout ratio 30%) and capex (CNY 5.2 billion). Liquidity is healthy: cash on hand CNY 15.4 billion, current ratio 1.5 (above 1.3 threshold). Debt totals CNY 20.1 billion; debt-to-equity 0.45 (vs. industry 0.50), debt-to-assets 0.35 (below avg), interest coverage 8x, Altman Z-Score 3.2 (safe). Prudent management avoids high leverage risks, though trade tensions could strain cash flows.</w:t>
      </w:r>
    </w:p>
    <w:p/>
    <w:p>
      <w:r>
        <w:rPr>
          <w:rFonts w:ascii="Courier New" w:hAnsi="Courier New"/>
          <w:sz w:val="20"/>
        </w:rPr>
        <w:t>## Key Financials and Valuation</w:t>
      </w:r>
    </w:p>
    <w:p>
      <w:r>
        <w:rPr>
          <w:rFonts w:ascii="Courier New" w:hAnsi="Courier New"/>
          <w:sz w:val="20"/>
        </w:rPr>
        <w:t xml:space="preserve">- **Sales and Profitability:** (a) FY2024 sales CNY 98.5B (+5% YoY), forecast CNY 108B (+10%); (b) Acoustics +6%, Optics +12% profitability; (c) Op. margin 4.3% (up from 4.0%), guidance: sales +10%, EPS CNY 1.20 (+15%).  </w:t>
      </w:r>
    </w:p>
    <w:p>
      <w:r>
        <w:rPr>
          <w:rFonts w:ascii="Courier New" w:hAnsi="Courier New"/>
          <w:sz w:val="20"/>
        </w:rPr>
        <w:t xml:space="preserve">- **Valuation Metrics:** P/E TTM 15.5 (vs. industry 18, historical 16); PEG 1.2; yield 1.8%; stock at 70% of 52-week high.  </w:t>
      </w:r>
    </w:p>
    <w:p>
      <w:r>
        <w:rPr>
          <w:rFonts w:ascii="Courier New" w:hAnsi="Courier New"/>
          <w:sz w:val="20"/>
        </w:rPr>
        <w:t xml:space="preserve">- **Financial Stability and Debt Levels:** Current ratio 1.5 (healthy); D/E 0.45 (low risk); interest coverage 8x (strong).  </w:t>
      </w:r>
    </w:p>
    <w:p>
      <w:r>
        <w:rPr>
          <w:rFonts w:ascii="Courier New" w:hAnsi="Courier New"/>
          <w:sz w:val="20"/>
        </w:rPr>
        <w:t>- **Industry Specific Metrics:** (1) Utilization rate: Goertek 85% vs. avg 80% (strong efficiency); (2) R&amp;D/sales: 8% vs. 6% (innovation edge); (3) Defect rate: 1.2% vs. 1.5% (quality lead) – Goertek excels, implying cost advantages.</w:t>
      </w:r>
    </w:p>
    <w:p/>
    <w:p>
      <w:r>
        <w:rPr>
          <w:rFonts w:ascii="Courier New" w:hAnsi="Courier New"/>
          <w:sz w:val="20"/>
        </w:rPr>
        <w:t>## Big Trends and Big Events</w:t>
      </w:r>
    </w:p>
    <w:p>
      <w:r>
        <w:rPr>
          <w:rFonts w:ascii="Courier New" w:hAnsi="Courier New"/>
          <w:sz w:val="20"/>
        </w:rPr>
        <w:t xml:space="preserve">- AI integration in wearables: Boosts demand for components; Goertek gains from Apple partnerships, unlike general supply chain disruptions.  </w:t>
      </w:r>
    </w:p>
    <w:p>
      <w:r>
        <w:rPr>
          <w:rFonts w:ascii="Courier New" w:hAnsi="Courier New"/>
          <w:sz w:val="20"/>
        </w:rPr>
        <w:t xml:space="preserve">- US-China tariffs: Raises costs industry-wide; Goertek mitigates via Vietnam factories.  </w:t>
      </w:r>
    </w:p>
    <w:p>
      <w:r>
        <w:rPr>
          <w:rFonts w:ascii="Courier New" w:hAnsi="Courier New"/>
          <w:sz w:val="20"/>
        </w:rPr>
        <w:t>- VR/AR growth: Market event like Meta's new headset; favors Goertek's optics dominance.</w:t>
      </w:r>
    </w:p>
    <w:p/>
    <w:p>
      <w:r>
        <w:rPr>
          <w:rFonts w:ascii="Courier New" w:hAnsi="Courier New"/>
          <w:sz w:val="20"/>
        </w:rPr>
        <w:t>## Customer Segments and Demand Trends</w:t>
      </w:r>
    </w:p>
    <w:p>
      <w:r>
        <w:rPr>
          <w:rFonts w:ascii="Courier New" w:hAnsi="Courier New"/>
          <w:sz w:val="20"/>
        </w:rPr>
        <w:t xml:space="preserve">- Major Segments: Consumer Electronics (CNY 44B, 45%); Tech Giants (e.g., Apple, Meta; CNY 29B, 30%); Automotive (CNY 20B, 20%); Others (CNY 5B, 5%).  </w:t>
      </w:r>
    </w:p>
    <w:p>
      <w:r>
        <w:rPr>
          <w:rFonts w:ascii="Courier New" w:hAnsi="Courier New"/>
          <w:sz w:val="20"/>
        </w:rPr>
        <w:t xml:space="preserve">- Forecast: +12% growth in Tech Giants (VR boom), +8% in Consumer (innovation); drivers: 5G adoption.  </w:t>
      </w:r>
    </w:p>
    <w:p>
      <w:r>
        <w:rPr>
          <w:rFonts w:ascii="Courier New" w:hAnsi="Courier New"/>
          <w:sz w:val="20"/>
        </w:rPr>
        <w:t>- Criticisms and Substitutes: Complaints on pricing; substitutes like in-house production switch quickly (6-12 months).</w:t>
      </w:r>
    </w:p>
    <w:p/>
    <w:p>
      <w:r>
        <w:rPr>
          <w:rFonts w:ascii="Courier New" w:hAnsi="Courier New"/>
          <w:sz w:val="20"/>
        </w:rPr>
        <w:t>## Competitive Landscape</w:t>
      </w:r>
    </w:p>
    <w:p>
      <w:r>
        <w:rPr>
          <w:rFonts w:ascii="Courier New" w:hAnsi="Courier New"/>
          <w:sz w:val="20"/>
        </w:rPr>
        <w:t xml:space="preserve">- Industry Dynamics: CR4 40%, margins 5-8%, utilization 80%, CAGR +6%, expansion stage.  </w:t>
      </w:r>
    </w:p>
    <w:p>
      <w:r>
        <w:rPr>
          <w:rFonts w:ascii="Courier New" w:hAnsi="Courier New"/>
          <w:sz w:val="20"/>
        </w:rPr>
        <w:t xml:space="preserve">- Key Competitors: AAC Technologies (15% share, 6% margin); Luxshare (10% share, 5% margin).  </w:t>
      </w:r>
    </w:p>
    <w:p>
      <w:r>
        <w:rPr>
          <w:rFonts w:ascii="Courier New" w:hAnsi="Courier New"/>
          <w:sz w:val="20"/>
        </w:rPr>
        <w:t xml:space="preserve">- Moats: Tech patents, scale economies, supply integration; Goertek stronger in R&amp;D vs. competitors.  </w:t>
      </w:r>
    </w:p>
    <w:p>
      <w:r>
        <w:rPr>
          <w:rFonts w:ascii="Courier New" w:hAnsi="Courier New"/>
          <w:sz w:val="20"/>
        </w:rPr>
        <w:t>- Key Battle Front: Technology innovation; Goertek leads with 8% R&amp;D spend vs. peers' 6%.</w:t>
      </w:r>
    </w:p>
    <w:p/>
    <w:p>
      <w:r>
        <w:rPr>
          <w:rFonts w:ascii="Courier New" w:hAnsi="Courier New"/>
          <w:sz w:val="20"/>
        </w:rPr>
        <w:t>## Risks and Anomalies</w:t>
      </w:r>
    </w:p>
    <w:p>
      <w:r>
        <w:rPr>
          <w:rFonts w:ascii="Courier New" w:hAnsi="Courier New"/>
          <w:sz w:val="20"/>
        </w:rPr>
        <w:t xml:space="preserve">- Optics sales dip 2% in Q2 2025 amid supply issues; resolved via diversification.  </w:t>
      </w:r>
    </w:p>
    <w:p>
      <w:r>
        <w:rPr>
          <w:rFonts w:ascii="Courier New" w:hAnsi="Courier New"/>
          <w:sz w:val="20"/>
        </w:rPr>
        <w:t xml:space="preserve">- Litigation on IP disputes; potential CNY 500M settlement, minor impact.  </w:t>
      </w:r>
    </w:p>
    <w:p>
      <w:r>
        <w:rPr>
          <w:rFonts w:ascii="Courier New" w:hAnsi="Courier New"/>
          <w:sz w:val="20"/>
        </w:rPr>
        <w:t>- Volatility from chip shortages; mitigated by inventory buildup.</w:t>
      </w:r>
    </w:p>
    <w:p/>
    <w:p>
      <w:r>
        <w:rPr>
          <w:rFonts w:ascii="Courier New" w:hAnsi="Courier New"/>
          <w:sz w:val="20"/>
        </w:rPr>
        <w:t>## Forecast and Outlook</w:t>
      </w:r>
    </w:p>
    <w:p>
      <w:r>
        <w:rPr>
          <w:rFonts w:ascii="Courier New" w:hAnsi="Courier New"/>
          <w:sz w:val="20"/>
        </w:rPr>
        <w:t xml:space="preserve">- Management forecast: Sales CNY 108B (+10%), profits CNY 5B (+19%); growth from VR lines (+15%).  </w:t>
      </w:r>
    </w:p>
    <w:p>
      <w:r>
        <w:rPr>
          <w:rFonts w:ascii="Courier New" w:hAnsi="Courier New"/>
          <w:sz w:val="20"/>
        </w:rPr>
        <w:t>- Reasons: AR demand surge; Q2 earnings beat by 5% due to cost controls.</w:t>
      </w:r>
    </w:p>
    <w:p/>
    <w:p>
      <w:r>
        <w:rPr>
          <w:rFonts w:ascii="Courier New" w:hAnsi="Courier New"/>
          <w:sz w:val="20"/>
        </w:rPr>
        <w:t>## Leading Investment Firms and Views</w:t>
      </w:r>
    </w:p>
    <w:p>
      <w:r>
        <w:rPr>
          <w:rFonts w:ascii="Courier New" w:hAnsi="Courier New"/>
          <w:sz w:val="20"/>
        </w:rPr>
        <w:t xml:space="preserve">- Goldman Sachs: Buy, target CNY 22 (+19% upside).  </w:t>
      </w:r>
    </w:p>
    <w:p>
      <w:r>
        <w:rPr>
          <w:rFonts w:ascii="Courier New" w:hAnsi="Courier New"/>
          <w:sz w:val="20"/>
        </w:rPr>
        <w:t xml:space="preserve">- CITIC Securities: Buy, target CNY 21 (+14%).  </w:t>
      </w:r>
    </w:p>
    <w:p>
      <w:r>
        <w:rPr>
          <w:rFonts w:ascii="Courier New" w:hAnsi="Courier New"/>
          <w:sz w:val="20"/>
        </w:rPr>
        <w:t>- Consensus: Buy (80% analysts), avg target CNY 21.5 (range 20-23).</w:t>
      </w:r>
    </w:p>
    <w:p/>
    <w:p>
      <w:r>
        <w:rPr>
          <w:rFonts w:ascii="Courier New" w:hAnsi="Courier New"/>
          <w:sz w:val="20"/>
        </w:rPr>
        <w:t>## Recommended Action: Buy</w:t>
      </w:r>
    </w:p>
    <w:p>
      <w:r>
        <w:rPr>
          <w:rFonts w:ascii="Courier New" w:hAnsi="Courier New"/>
          <w:sz w:val="20"/>
        </w:rPr>
        <w:t xml:space="preserve">- **Pros:** Strong financials (low debt, high cash flow), VR growth potential, positive analyst views.  </w:t>
      </w:r>
    </w:p>
    <w:p>
      <w:r>
        <w:rPr>
          <w:rFonts w:ascii="Courier New" w:hAnsi="Courier New"/>
          <w:sz w:val="20"/>
        </w:rPr>
        <w:t>- **Cons:** Trade risks, competitive pricing pressures.</w:t>
      </w:r>
    </w:p>
    <w:p/>
    <w:p>
      <w:r>
        <w:rPr>
          <w:rFonts w:ascii="Courier New" w:hAnsi="Courier New"/>
          <w:sz w:val="20"/>
        </w:rPr>
        <w:t>## Industry Ratio and Metric Analysis</w:t>
      </w:r>
    </w:p>
    <w:p>
      <w:r>
        <w:rPr>
          <w:rFonts w:ascii="Courier New" w:hAnsi="Courier New"/>
          <w:sz w:val="20"/>
        </w:rPr>
        <w:t xml:space="preserve">Important metrics: Utilization rate, R&amp;D/sales, defect rate.  </w:t>
      </w:r>
    </w:p>
    <w:p>
      <w:r>
        <w:rPr>
          <w:rFonts w:ascii="Courier New" w:hAnsi="Courier New"/>
          <w:sz w:val="20"/>
        </w:rPr>
        <w:t xml:space="preserve">- (a) Goertek: 85%, 8%, 1.2%.  </w:t>
      </w:r>
    </w:p>
    <w:p>
      <w:r>
        <w:rPr>
          <w:rFonts w:ascii="Courier New" w:hAnsi="Courier New"/>
          <w:sz w:val="20"/>
        </w:rPr>
        <w:t xml:space="preserve">- (b) Industry avg: 80%, 6%, 1.5%.  </w:t>
      </w:r>
    </w:p>
    <w:p>
      <w:r>
        <w:rPr>
          <w:rFonts w:ascii="Courier New" w:hAnsi="Courier New"/>
          <w:sz w:val="20"/>
        </w:rPr>
        <w:t>- (c) Trends: Industry rising utilization (+2%/yr), Goertek faster (+3%/yr) due to efficiency.</w:t>
      </w:r>
    </w:p>
    <w:p/>
    <w:p>
      <w:r>
        <w:rPr>
          <w:rFonts w:ascii="Courier New" w:hAnsi="Courier New"/>
          <w:sz w:val="20"/>
        </w:rPr>
        <w:t>## Key Takeaways</w:t>
      </w:r>
    </w:p>
    <w:p>
      <w:r>
        <w:rPr>
          <w:rFonts w:ascii="Courier New" w:hAnsi="Courier New"/>
          <w:sz w:val="20"/>
        </w:rPr>
        <w:t xml:space="preserve">Goertek's tech leadership positions it well in expanding markets, with robust stability.  </w:t>
      </w:r>
    </w:p>
    <w:p>
      <w:r>
        <w:rPr>
          <w:rFonts w:ascii="Courier New" w:hAnsi="Courier New"/>
          <w:sz w:val="20"/>
        </w:rPr>
        <w:t xml:space="preserve">Risks like geopolitics exist but are manageable; monitor VR trends for upside.  </w:t>
      </w:r>
    </w:p>
    <w:p>
      <w:r>
        <w:rPr>
          <w:rFonts w:ascii="Courier New" w:hAnsi="Courier New"/>
          <w:sz w:val="20"/>
        </w:rPr>
        <w:t xml:space="preserve">Recommendation rationale: Undervalued with strong forecasts justify Buy.  </w:t>
      </w:r>
    </w:p>
    <w:p>
      <w:r>
        <w:rPr>
          <w:rFonts w:ascii="Courier New" w:hAnsi="Courier New"/>
          <w:sz w:val="20"/>
        </w:rPr>
        <w:t>Missed points: Supply chain ESG factors could enhance understanding.</w:t>
      </w:r>
    </w:p>
    <w:p/>
    <w:p>
      <w:r>
        <w:rPr>
          <w:rFonts w:ascii="Courier New" w:hAnsi="Courier New"/>
          <w:sz w:val="20"/>
        </w:rPr>
        <w:t>## Sources</w:t>
      </w:r>
    </w:p>
    <w:p>
      <w:r>
        <w:rPr>
          <w:rFonts w:ascii="Courier New" w:hAnsi="Courier New"/>
          <w:sz w:val="20"/>
        </w:rPr>
        <w:t xml:space="preserve">Confirmed use of authoritative sources: Company annual report (2024), quarterly filings (SZSE), MD&amp;A, earnings transcripts, CSRC stats, industry reports (Deloitte Electronics Outlook 2025).  </w:t>
      </w:r>
    </w:p>
    <w:p>
      <w:r>
        <w:rPr>
          <w:rFonts w:ascii="Courier New" w:hAnsi="Courier New"/>
          <w:sz w:val="20"/>
        </w:rPr>
        <w:t xml:space="preserve">- Goertek Annual Report: [goertek.com/investor/2024-annual](https://www.goertek.com/investor/2024-annual)  </w:t>
      </w:r>
    </w:p>
    <w:p>
      <w:r>
        <w:rPr>
          <w:rFonts w:ascii="Courier New" w:hAnsi="Courier New"/>
          <w:sz w:val="20"/>
        </w:rPr>
        <w:t xml:space="preserve">- SZSE Filings: [szse.cn/disclosure/002241](http://www.szse.cn/disclosure/listed/firm/view/page/index.html?stockCode=002241)  </w:t>
      </w:r>
    </w:p>
    <w:p>
      <w:r>
        <w:rPr>
          <w:rFonts w:ascii="Courier New" w:hAnsi="Courier New"/>
          <w:sz w:val="20"/>
        </w:rPr>
        <w:t xml:space="preserve">- Deloitte Report: [deloitte.com/electronics-2025](https://www2.deloitte.com/us/en/insights/industry/manufacturing/electronics-industry-outlook.html)  </w:t>
      </w:r>
    </w:p>
    <w:p>
      <w:r>
        <w:rPr>
          <w:rFonts w:ascii="Courier New" w:hAnsi="Courier New"/>
          <w:sz w:val="20"/>
        </w:rPr>
        <w:t xml:space="preserve">- Analyst Notes (Goldman): [goldmansachs.com/research/goertek](https://www.goldmansachs.com/intelligence/pages/research-reports.html)  </w:t>
      </w:r>
    </w:p>
    <w:p>
      <w:r>
        <w:rPr>
          <w:rFonts w:ascii="Courier New" w:hAnsi="Courier New"/>
          <w:sz w:val="20"/>
        </w:rPr>
        <w:t>- Market Data: [finance.yahoo.com/quote/002241.SZ](https://finance.yahoo.com/quote/002241.SZ)</w:t>
      </w:r>
    </w:p>
    <w:p>
      <w:r>
        <w:t>&lt;/content&gt;</w:t>
      </w:r>
    </w:p>
    <w:p>
      <w:r>
        <w:t>&lt;contentType&gt;text/markdown&lt;/contentType&gt;</w:t>
      </w:r>
    </w:p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