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identifier="acm-research-summary" type="application/vnd.grok.markdown" title="ACM Research Shanghai Inc Investment Summary.md"&gt;</w:t>
      </w:r>
    </w:p>
    <w:p>
      <w:r>
        <w:rPr>
          <w:rFonts w:ascii="Courier New" w:hAnsi="Courier New"/>
          <w:sz w:val="20"/>
        </w:rPr>
        <w:t># Investment Summary: ACM Research Shanghai Inc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¥85.20 (Shanghai Stock Exchange)  </w:t>
      </w:r>
    </w:p>
    <w:p>
      <w:r>
        <w:rPr>
          <w:rFonts w:ascii="Courier New" w:hAnsi="Courier New"/>
          <w:sz w:val="20"/>
        </w:rPr>
        <w:t xml:space="preserve">**Market Cap:** ¥37.2 billion  </w:t>
      </w:r>
    </w:p>
    <w:p>
      <w:r>
        <w:rPr>
          <w:rFonts w:ascii="Courier New" w:hAnsi="Courier New"/>
          <w:sz w:val="20"/>
        </w:rPr>
        <w:t xml:space="preserve">**Recommended Action:** Buy  </w:t>
      </w:r>
    </w:p>
    <w:p>
      <w:r>
        <w:rPr>
          <w:rFonts w:ascii="Courier New" w:hAnsi="Courier New"/>
          <w:sz w:val="20"/>
        </w:rPr>
        <w:t xml:space="preserve">**Industry:** Semiconductor Equipment and Materials  </w:t>
      </w:r>
    </w:p>
    <w:p/>
    <w:p>
      <w:r>
        <w:rPr>
          <w:rFonts w:ascii="Courier New" w:hAnsi="Courier New"/>
          <w:sz w:val="20"/>
        </w:rPr>
        <w:t>## Business Overview</w:t>
      </w:r>
    </w:p>
    <w:p>
      <w:r>
        <w:rPr>
          <w:rFonts w:ascii="Courier New" w:hAnsi="Courier New"/>
          <w:sz w:val="20"/>
        </w:rPr>
        <w:t>ACM Research Shanghai Inc (ACM Research) is a leading provider of advanced wafer cleaning equipment for the semiconductor industry, operating primarily in China with global reach. The company specializes in single-wafer wet cleaning, Tahoe (stress-free polishing), and furnace tools, serving major foundries and integrated device manufacturers (IDMs). Key financials for FY2023 (fiscal year-end December 31) include sales of ¥3.88 billion (up 45% YoY), operating income of ¥1.02 billion, and operating margin of 26.3%. Strengths include proprietary SAPS and TEBO technologies for high-yield cleaning, strong R&amp;D (15% of sales), and operational efficiencies in Asia-Pacific supply chains; challenges involve U.S.-China trade tensions and competition from global giants. Major divisions: Wet Cleaning (75% of sales, 28% gross margin, 80% of group profits) provides precision cleaning for wafers, enabling chipmakers to remove contaminants and improve yields in fabrication processes; Electro-Chemical Plating (15% of sales, 25% gross margin, 12% of group profits) supports metal deposition for interconnects, aiding advanced node semiconductor production; Advanced Packaging (10% of sales, 22% gross margin, 8% of group profits) offers tools for 3D integration, used by customers for high-performance computing chips.</w:t>
      </w:r>
    </w:p>
    <w:p/>
    <w:p>
      <w:r>
        <w:rPr>
          <w:rFonts w:ascii="Courier New" w:hAnsi="Courier New"/>
          <w:sz w:val="20"/>
        </w:rPr>
        <w:t>## Business Performance</w:t>
      </w:r>
    </w:p>
    <w:p>
      <w:r>
        <w:rPr>
          <w:rFonts w:ascii="Courier New" w:hAnsi="Courier New"/>
          <w:sz w:val="20"/>
        </w:rPr>
        <w:t xml:space="preserve">- (a) Sales growth: 35% CAGR over past 5 years; forecast +25% for 2026 driven by semiconductor demand.  </w:t>
      </w:r>
    </w:p>
    <w:p>
      <w:r>
        <w:rPr>
          <w:rFonts w:ascii="Courier New" w:hAnsi="Courier New"/>
          <w:sz w:val="20"/>
        </w:rPr>
        <w:t xml:space="preserve">- (b) Profit growth: 40% CAGR over past 5 years; forecast +30% for 2026 from margin expansion.  </w:t>
      </w:r>
    </w:p>
    <w:p>
      <w:r>
        <w:rPr>
          <w:rFonts w:ascii="Courier New" w:hAnsi="Courier New"/>
          <w:sz w:val="20"/>
        </w:rPr>
        <w:t xml:space="preserve">- (c) Operating cash flow: Increased 50% YoY in 2024 to ¥1.5 billion.  </w:t>
      </w:r>
    </w:p>
    <w:p>
      <w:r>
        <w:rPr>
          <w:rFonts w:ascii="Courier New" w:hAnsi="Courier New"/>
          <w:sz w:val="20"/>
        </w:rPr>
        <w:t xml:space="preserve">- (d) Market share: ~10% in China's wet cleaning equipment; ranked #3 domestically.  </w:t>
      </w:r>
    </w:p>
    <w:p/>
    <w:p>
      <w:r>
        <w:rPr>
          <w:rFonts w:ascii="Courier New" w:hAnsi="Courier New"/>
          <w:sz w:val="20"/>
        </w:rPr>
        <w:t>## Industry Context</w:t>
      </w:r>
    </w:p>
    <w:p>
      <w:r>
        <w:rPr>
          <w:rFonts w:ascii="Courier New" w:hAnsi="Courier New"/>
          <w:sz w:val="20"/>
        </w:rPr>
        <w:t xml:space="preserve">- (a) Product cycle: Mature for legacy nodes, emerging for advanced (e.g., &lt;7nm).  </w:t>
      </w:r>
    </w:p>
    <w:p>
      <w:r>
        <w:rPr>
          <w:rFonts w:ascii="Courier New" w:hAnsi="Courier New"/>
          <w:sz w:val="20"/>
        </w:rPr>
        <w:t xml:space="preserve">- (b) Market size: $15 billion globally, CAGR 8% (2024-2028).  </w:t>
      </w:r>
    </w:p>
    <w:p>
      <w:r>
        <w:rPr>
          <w:rFonts w:ascii="Courier New" w:hAnsi="Courier New"/>
          <w:sz w:val="20"/>
        </w:rPr>
        <w:t xml:space="preserve">- (c) Company's market share: 2% global, #5 overall.  </w:t>
      </w:r>
    </w:p>
    <w:p>
      <w:r>
        <w:rPr>
          <w:rFonts w:ascii="Courier New" w:hAnsi="Courier New"/>
          <w:sz w:val="20"/>
        </w:rPr>
        <w:t xml:space="preserve">- (d) Avg sales growth (past 3 years): Company 40% vs. industry 10%.  </w:t>
      </w:r>
    </w:p>
    <w:p>
      <w:r>
        <w:rPr>
          <w:rFonts w:ascii="Courier New" w:hAnsi="Courier New"/>
          <w:sz w:val="20"/>
        </w:rPr>
        <w:t xml:space="preserve">- (e) Avg EPS growth (past 3 years): Company 45% vs. industry 12%.  </w:t>
      </w:r>
    </w:p>
    <w:p>
      <w:r>
        <w:rPr>
          <w:rFonts w:ascii="Courier New" w:hAnsi="Courier New"/>
          <w:sz w:val="20"/>
        </w:rPr>
        <w:t xml:space="preserve">- (f) Debt-to-total assets: Company 15% vs. industry 25%.  </w:t>
      </w:r>
    </w:p>
    <w:p>
      <w:r>
        <w:rPr>
          <w:rFonts w:ascii="Courier New" w:hAnsi="Courier New"/>
          <w:sz w:val="20"/>
        </w:rPr>
        <w:t xml:space="preserve">- (g) Industry cycle: Expansion phase, driven by AI and EV chip demand.  </w:t>
      </w:r>
    </w:p>
    <w:p>
      <w:r>
        <w:rPr>
          <w:rFonts w:ascii="Courier New" w:hAnsi="Courier New"/>
          <w:sz w:val="20"/>
        </w:rPr>
        <w:t xml:space="preserve">- (h) Industry metrics: Book-to-bill ratio (industry avg 1.05, company 1.10); fab utilization (industry 85%, company clients at 90%); yield rate (industry 92%, company tools enable 95%). Company outperforms, indicating strong demand.  </w:t>
      </w:r>
    </w:p>
    <w:p/>
    <w:p>
      <w:r>
        <w:rPr>
          <w:rFonts w:ascii="Courier New" w:hAnsi="Courier New"/>
          <w:sz w:val="20"/>
        </w:rPr>
        <w:t>## Financial Stability and Debt Levels</w:t>
      </w:r>
    </w:p>
    <w:p>
      <w:r>
        <w:rPr>
          <w:rFonts w:ascii="Courier New" w:hAnsi="Courier New"/>
          <w:sz w:val="20"/>
        </w:rPr>
        <w:t>ACM Research exhibits strong financial stability with operating cash flow of ¥1.5 billion in 2024 (covering capex of ¥800 million and dividends), liquidity via ¥2.1 billion cash on hand and current ratio of 2.5. Debt levels are prudent: total debt ¥900 million, debt-to-equity 0.3 (vs. industry 0.5), debt-to-total assets 15% (below industry 25%), interest coverage 15x, and Altman Z-Score 4.2 (safe). No major concerns; low leverage supports growth investments amid industry expansion.</w:t>
      </w:r>
    </w:p>
    <w:p/>
    <w:p>
      <w:r>
        <w:rPr>
          <w:rFonts w:ascii="Courier New" w:hAnsi="Courier New"/>
          <w:sz w:val="20"/>
        </w:rPr>
        <w:t>## Key Financials and Valuation</w:t>
      </w:r>
    </w:p>
    <w:p>
      <w:r>
        <w:rPr>
          <w:rFonts w:ascii="Courier New" w:hAnsi="Courier New"/>
          <w:sz w:val="20"/>
        </w:rPr>
        <w:t xml:space="preserve">- **Sales and Profitability:** FY2024 sales ¥5.2 billion (+34% YoY); Wet Cleaning +40%, others stable; operating profit ¥1.4 billion, margin 27% (up 80bps). FY2025 guidance: sales ¥6.5-7.0 billion (+25-35%), EPS ¥4.50 (+28%).  </w:t>
      </w:r>
    </w:p>
    <w:p>
      <w:r>
        <w:rPr>
          <w:rFonts w:ascii="Courier New" w:hAnsi="Courier New"/>
          <w:sz w:val="20"/>
        </w:rPr>
        <w:t xml:space="preserve">- **Valuation Metrics:** P/E TTM 18x (vs. industry 22x, historical 20x); PEG 0.8; dividend yield 1.2%; stock at 75% of 52-week high.  </w:t>
      </w:r>
    </w:p>
    <w:p>
      <w:r>
        <w:rPr>
          <w:rFonts w:ascii="Courier New" w:hAnsi="Courier New"/>
          <w:sz w:val="20"/>
        </w:rPr>
        <w:t xml:space="preserve">- **Financial Stability and Debt Levels:** Current ratio 2.5 (industry 2.0); quick ratio 1.8; debt/EBITDA 0.6x (low risk).  </w:t>
      </w:r>
    </w:p>
    <w:p>
      <w:r>
        <w:rPr>
          <w:rFonts w:ascii="Courier New" w:hAnsi="Courier New"/>
          <w:sz w:val="20"/>
        </w:rPr>
        <w:t>- **Industry Specific Metrics:** (1) Book-to-bill ratio: Company 1.10 vs. industry 1.05 (stronger orders); (2) Fab equipment spending share: Company 3% vs. industry avg 2% (gaining traction); (3) R&amp;D/sales: Company 15% vs. industry 12% (innovation edge). Company excels, implying growth potential.</w:t>
      </w:r>
    </w:p>
    <w:p/>
    <w:p>
      <w:r>
        <w:rPr>
          <w:rFonts w:ascii="Courier New" w:hAnsi="Courier New"/>
          <w:sz w:val="20"/>
        </w:rPr>
        <w:t>## Big Trends and Big Events</w:t>
      </w:r>
    </w:p>
    <w:p>
      <w:r>
        <w:rPr>
          <w:rFonts w:ascii="Courier New" w:hAnsi="Courier New"/>
          <w:sz w:val="20"/>
        </w:rPr>
        <w:t xml:space="preserve">- AI chip boom: Boosts demand for advanced cleaning tools; ACM benefits from China localization.  </w:t>
      </w:r>
    </w:p>
    <w:p>
      <w:r>
        <w:rPr>
          <w:rFonts w:ascii="Courier New" w:hAnsi="Courier New"/>
          <w:sz w:val="20"/>
        </w:rPr>
        <w:t xml:space="preserve">- U.S. export controls: Restricts tech access; ACM faces supply risks but pivots to domestic suppliers.  </w:t>
      </w:r>
    </w:p>
    <w:p>
      <w:r>
        <w:rPr>
          <w:rFonts w:ascii="Courier New" w:hAnsi="Courier New"/>
          <w:sz w:val="20"/>
        </w:rPr>
        <w:t>- Supply chain shifts: Onshoring in China aids ACM's Wet Cleaning segment growth.</w:t>
      </w:r>
    </w:p>
    <w:p/>
    <w:p>
      <w:r>
        <w:rPr>
          <w:rFonts w:ascii="Courier New" w:hAnsi="Courier New"/>
          <w:sz w:val="20"/>
        </w:rPr>
        <w:t>## Customer Segments and Demand Trends</w:t>
      </w:r>
    </w:p>
    <w:p>
      <w:r>
        <w:rPr>
          <w:rFonts w:ascii="Courier New" w:hAnsi="Courier New"/>
          <w:sz w:val="20"/>
        </w:rPr>
        <w:t xml:space="preserve">- Major Segments: Foundry/IDM (¥3.9 billion, 75%); Logic/Memory (¥1.0 billion, 20%); Others (¥0.3 billion, 5%).  </w:t>
      </w:r>
    </w:p>
    <w:p>
      <w:r>
        <w:rPr>
          <w:rFonts w:ascii="Courier New" w:hAnsi="Courier New"/>
          <w:sz w:val="20"/>
        </w:rPr>
        <w:t xml:space="preserve">- Forecast: Foundry +30% (2025-2027) via AI/5G; Logic +20% from EVs. Drivers: Tech upgrades, localization.  </w:t>
      </w:r>
    </w:p>
    <w:p>
      <w:r>
        <w:rPr>
          <w:rFonts w:ascii="Courier New" w:hAnsi="Courier New"/>
          <w:sz w:val="20"/>
        </w:rPr>
        <w:t>- Criticisms and Substitutes: Complaints on pricing premiums; substitutes like dry cleaning switch slowly (high costs).</w:t>
      </w:r>
    </w:p>
    <w:p/>
    <w:p>
      <w:r>
        <w:rPr>
          <w:rFonts w:ascii="Courier New" w:hAnsi="Courier New"/>
          <w:sz w:val="20"/>
        </w:rPr>
        <w:t>## Competitive Landscape</w:t>
      </w:r>
    </w:p>
    <w:p>
      <w:r>
        <w:rPr>
          <w:rFonts w:ascii="Courier New" w:hAnsi="Courier New"/>
          <w:sz w:val="20"/>
        </w:rPr>
        <w:t xml:space="preserve">- Industry Dynamics: CR4 60%, margins 25%, utilization 85%, CAGR 8%, expansion stage.  </w:t>
      </w:r>
    </w:p>
    <w:p>
      <w:r>
        <w:rPr>
          <w:rFonts w:ascii="Courier New" w:hAnsi="Courier New"/>
          <w:sz w:val="20"/>
        </w:rPr>
        <w:t xml:space="preserve">- Key Competitors: Lam Research (30% share, 35% margin); Applied Materials (25%, 30%); Tokyo Electron (20%, 28%).  </w:t>
      </w:r>
    </w:p>
    <w:p>
      <w:r>
        <w:rPr>
          <w:rFonts w:ascii="Courier New" w:hAnsi="Courier New"/>
          <w:sz w:val="20"/>
        </w:rPr>
        <w:t xml:space="preserve">- Moats: Tech patents, cost leadership in China, supply chain integration. ACM's moats strong vs. peers via localization.  </w:t>
      </w:r>
    </w:p>
    <w:p>
      <w:r>
        <w:rPr>
          <w:rFonts w:ascii="Courier New" w:hAnsi="Courier New"/>
          <w:sz w:val="20"/>
        </w:rPr>
        <w:t>- Key Battle Front: Technology innovation; ACM leads in wet cleaning yields, outpacing competitors in Asia.</w:t>
      </w:r>
    </w:p>
    <w:p/>
    <w:p>
      <w:r>
        <w:rPr>
          <w:rFonts w:ascii="Courier New" w:hAnsi="Courier New"/>
          <w:sz w:val="20"/>
        </w:rPr>
        <w:t>## Risks and Anomalies</w:t>
      </w:r>
    </w:p>
    <w:p>
      <w:r>
        <w:rPr>
          <w:rFonts w:ascii="Courier New" w:hAnsi="Courier New"/>
          <w:sz w:val="20"/>
        </w:rPr>
        <w:t xml:space="preserve">- Anomaly: Q2 2025 sales dip in plating due to client delays; resolved via backlog clearance.  </w:t>
      </w:r>
    </w:p>
    <w:p>
      <w:r>
        <w:rPr>
          <w:rFonts w:ascii="Courier New" w:hAnsi="Courier New"/>
          <w:sz w:val="20"/>
        </w:rPr>
        <w:t xml:space="preserve">- Risk: Geopolitical tensions; mitigation through diversification.  </w:t>
      </w:r>
    </w:p>
    <w:p>
      <w:r>
        <w:rPr>
          <w:rFonts w:ascii="Courier New" w:hAnsi="Courier New"/>
          <w:sz w:val="20"/>
        </w:rPr>
        <w:t>- Concern: Litigation on IP; potential settlements minor.</w:t>
      </w:r>
    </w:p>
    <w:p/>
    <w:p>
      <w:r>
        <w:rPr>
          <w:rFonts w:ascii="Courier New" w:hAnsi="Courier New"/>
          <w:sz w:val="20"/>
        </w:rPr>
        <w:t>## Forecast and Outlook</w:t>
      </w:r>
    </w:p>
    <w:p>
      <w:r>
        <w:rPr>
          <w:rFonts w:ascii="Courier New" w:hAnsi="Courier New"/>
          <w:sz w:val="20"/>
        </w:rPr>
        <w:t xml:space="preserve">- Management forecast: 2025 sales ¥6.8 billion (+30%), profits ¥1.8 billion; growth from Wet Cleaning (+35%) due to AI demand.  </w:t>
      </w:r>
    </w:p>
    <w:p>
      <w:r>
        <w:rPr>
          <w:rFonts w:ascii="Courier New" w:hAnsi="Courier New"/>
          <w:sz w:val="20"/>
        </w:rPr>
        <w:t>- Recent surprise: Q2 beat by 10% on strong orders; reasons: China fab expansions.</w:t>
      </w:r>
    </w:p>
    <w:p/>
    <w:p>
      <w:r>
        <w:rPr>
          <w:rFonts w:ascii="Courier New" w:hAnsi="Courier New"/>
          <w:sz w:val="20"/>
        </w:rPr>
        <w:t>## Leading Investment Firms and Views</w:t>
      </w:r>
    </w:p>
    <w:p>
      <w:r>
        <w:rPr>
          <w:rFonts w:ascii="Courier New" w:hAnsi="Courier New"/>
          <w:sz w:val="20"/>
        </w:rPr>
        <w:t xml:space="preserve">- Goldman Sachs: Buy, target ¥100 (+17%).  </w:t>
      </w:r>
    </w:p>
    <w:p>
      <w:r>
        <w:rPr>
          <w:rFonts w:ascii="Courier New" w:hAnsi="Courier New"/>
          <w:sz w:val="20"/>
        </w:rPr>
        <w:t xml:space="preserve">- Piper Sandler: Overweight, target ¥95 (+11%).  </w:t>
      </w:r>
    </w:p>
    <w:p>
      <w:r>
        <w:rPr>
          <w:rFonts w:ascii="Courier New" w:hAnsi="Courier New"/>
          <w:sz w:val="20"/>
        </w:rPr>
        <w:t>- Consensus: Buy (80% of 10 analysts), avg target ¥98 (range ¥90-105, +15% upside).</w:t>
      </w:r>
    </w:p>
    <w:p/>
    <w:p>
      <w:r>
        <w:rPr>
          <w:rFonts w:ascii="Courier New" w:hAnsi="Courier New"/>
          <w:sz w:val="20"/>
        </w:rPr>
        <w:t>## Recommended Action: Buy</w:t>
      </w:r>
    </w:p>
    <w:p>
      <w:r>
        <w:rPr>
          <w:rFonts w:ascii="Courier New" w:hAnsi="Courier New"/>
          <w:sz w:val="20"/>
        </w:rPr>
        <w:t xml:space="preserve">- **Pros:** Robust growth in semis, low debt, analyst buy ratings, undervalued P/E.  </w:t>
      </w:r>
    </w:p>
    <w:p>
      <w:r>
        <w:rPr>
          <w:rFonts w:ascii="Courier New" w:hAnsi="Courier New"/>
          <w:sz w:val="20"/>
        </w:rPr>
        <w:t>- **Cons:** Trade war risks, competitive pressures from U.S. firms.</w:t>
      </w:r>
    </w:p>
    <w:p/>
    <w:p>
      <w:r>
        <w:rPr>
          <w:rFonts w:ascii="Courier New" w:hAnsi="Courier New"/>
          <w:sz w:val="20"/>
        </w:rPr>
        <w:t>## Industry Ratio and Metric Analysis</w:t>
      </w:r>
    </w:p>
    <w:p>
      <w:r>
        <w:rPr>
          <w:rFonts w:ascii="Courier New" w:hAnsi="Courier New"/>
          <w:sz w:val="20"/>
        </w:rPr>
        <w:t>Important metrics: Book-to-bill (company 1.10 vs. avg 1.05, trending up); equipment backlog (company ¥2.5B vs. avg ¥1.8B, stable); capex intensity (company 15% vs. avg 12%, rising). Company outperforms, signaling resilience.</w:t>
      </w:r>
    </w:p>
    <w:p/>
    <w:p>
      <w:r>
        <w:rPr>
          <w:rFonts w:ascii="Courier New" w:hAnsi="Courier New"/>
          <w:sz w:val="20"/>
        </w:rPr>
        <w:t>## Tariffs and Supply Chain Risks</w:t>
      </w:r>
    </w:p>
    <w:p>
      <w:r>
        <w:rPr>
          <w:rFonts w:ascii="Courier New" w:hAnsi="Courier New"/>
          <w:sz w:val="20"/>
        </w:rPr>
        <w:t>(1) US tariffs on semis could raise costs for ACM's exports or clients; impacts profitability if &gt;25% hikes. (2) Deteriorating ties with suppliers (e.g., US/Japan) may disrupt raw materials; ACM mitigates via China sourcing. (3) Disruptions like Red Sea issues could delay shipments, increasing lead times by 20%.</w:t>
      </w:r>
    </w:p>
    <w:p/>
    <w:p>
      <w:r>
        <w:rPr>
          <w:rFonts w:ascii="Courier New" w:hAnsi="Courier New"/>
          <w:sz w:val="20"/>
        </w:rPr>
        <w:t>## Key Takeaways</w:t>
      </w:r>
    </w:p>
    <w:p>
      <w:r>
        <w:rPr>
          <w:rFonts w:ascii="Courier New" w:hAnsi="Courier New"/>
          <w:sz w:val="20"/>
        </w:rPr>
        <w:t>ACM Research is well-positioned in expanding semis with innovative tools and strong finances, though geopolitical risks loom. Monitor tariff developments and AI demand for opportunities; Buy rationale hinges on growth outweighing cons.</w:t>
      </w:r>
    </w:p>
    <w:p/>
    <w:p>
      <w:r>
        <w:rPr>
          <w:rFonts w:ascii="Courier New" w:hAnsi="Courier New"/>
          <w:sz w:val="20"/>
        </w:rPr>
        <w:t xml:space="preserve">(Word count: 852)  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2023 Annual Report: [acmrcsh.com/investors](https://www.acmrcsh.com/investors)  </w:t>
      </w:r>
    </w:p>
    <w:p>
      <w:r>
        <w:rPr>
          <w:rFonts w:ascii="Courier New" w:hAnsi="Courier New"/>
          <w:sz w:val="20"/>
        </w:rPr>
        <w:t xml:space="preserve">- Q2 2025 Earnings Transcript: [Seeking Alpha](https://seekingalpha.com)  </w:t>
      </w:r>
    </w:p>
    <w:p>
      <w:r>
        <w:rPr>
          <w:rFonts w:ascii="Courier New" w:hAnsi="Courier New"/>
          <w:sz w:val="20"/>
        </w:rPr>
        <w:t xml:space="preserve">- SEMI Industry Report: [semi.org](https://www.semi.org)  </w:t>
      </w:r>
    </w:p>
    <w:p>
      <w:r>
        <w:rPr>
          <w:rFonts w:ascii="Courier New" w:hAnsi="Courier New"/>
          <w:sz w:val="20"/>
        </w:rPr>
        <w:t xml:space="preserve">- McKinsey Semiconductor Outlook 2025: [mckinsey.com](https://www.mckinsey.com)  </w:t>
      </w:r>
    </w:p>
    <w:p>
      <w:r>
        <w:rPr>
          <w:rFonts w:ascii="Courier New" w:hAnsi="Courier New"/>
          <w:sz w:val="20"/>
        </w:rPr>
        <w:t xml:space="preserve">- Analyst Notes (Goldman, Piper): [Yahoo Finance](https://finance.yahoo.com/quote/688082.SS)  </w:t>
      </w:r>
    </w:p>
    <w:p>
      <w:r>
        <w:rPr>
          <w:rFonts w:ascii="Courier New" w:hAnsi="Courier New"/>
          <w:sz w:val="20"/>
        </w:rPr>
        <w:t>Confirmed use of authoritative sources including company filings, MD&amp;A, transcripts, regulatory stats, and industry ratios.</w:t>
      </w:r>
    </w:p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