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identifier="amec-investment-summary-20250905" title="Advanced Micro-Fabrication Equipment Inc China Investment Summary.md" type="text/markdown"&gt;</w:t>
      </w:r>
    </w:p>
    <w:p/>
    <w:p>
      <w:pPr>
        <w:pStyle w:val="Heading1"/>
      </w:pPr>
      <w:r>
        <w:t>Investment Summary: Advanced Micro-Fabrication Equipment Inc China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142.50</w:t>
      </w:r>
    </w:p>
    <w:p>
      <w:r>
        <w:rPr>
          <w:b/>
        </w:rPr>
        <w:t>Market Cap:</w:t>
      </w:r>
      <w:r>
        <w:t xml:space="preserve"> CNY 88.7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Semiconductor Equipment &amp; Materials</w:t>
      </w:r>
    </w:p>
    <w:p/>
    <w:p>
      <w:pPr>
        <w:pStyle w:val="Heading2"/>
      </w:pPr>
      <w:r>
        <w:t>Business Overview</w:t>
      </w:r>
    </w:p>
    <w:p>
      <w:r>
        <w:t>Advanced Micro-Fabrication Equipment Inc China (AMEC), listed on the Shanghai Stock Exchange (688012.SS), is a leading provider of semiconductor fabrication equipment, focusing on plasma etching, MOCVD (metal-organic chemical vapor deposition), and thin-film deposition tools. Major divisions include Etching Equipment (60% of FY2024 sales, 65% gross margin, 62% of group profits) for precise material removal in chip production, and MOCVD Equipment (30% of sales, 55% gross margin, 28% of profits) for LED and power device manufacturing. Key financials: FY2024 sales CNY 6.2 billion (up 15% YoY), operating income CNY 1.8 billion, margins at 29%. Fiscal year-end: December 31. Etching tools enable high-precision patterning for advanced nodes in semiconductors, serving foundries like SMIC for logic and memory chips. MOCVD tools support epitaxial growth for optoelectronics, aiding LED manufacturers in energy-efficient lighting. Strengths include cutting-edge technology in 5nm processes and strong R&amp;D (15% of sales); challenges involve US export restrictions and supply chain vulnerabilities.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18% CAGR past 5 years; forecast 12% for 2026 amid chip demand recovery.  </w:t>
      </w:r>
    </w:p>
    <w:p>
      <w:pPr>
        <w:pStyle w:val="ListBullet"/>
      </w:pPr>
      <w:r>
        <w:t xml:space="preserve">(b) Profit growth: 22% CAGR past 5 years; forecast 15% for 2026 driven by efficiency gains.  </w:t>
      </w:r>
    </w:p>
    <w:p>
      <w:pPr>
        <w:pStyle w:val="ListBullet"/>
      </w:pPr>
      <w:r>
        <w:t xml:space="preserve">(c) Operating cash flow: Increased 25% YoY in FY2024 to CNY 2.1 billion.  </w:t>
      </w:r>
    </w:p>
    <w:p>
      <w:pPr>
        <w:pStyle w:val="ListBullet"/>
      </w:pPr>
      <w:r>
        <w:t xml:space="preserve">(d) Market share: ~10% in global plasma etching; ranked #4 behind Lam Research.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etching, emerging for advanced MOCVD in EVs.  </w:t>
      </w:r>
    </w:p>
    <w:p>
      <w:pPr>
        <w:pStyle w:val="ListBullet"/>
      </w:pPr>
      <w:r>
        <w:t xml:space="preserve">(b) Market size: USD 100 billion, 8% CAGR 2023-2028.  </w:t>
      </w:r>
    </w:p>
    <w:p>
      <w:pPr>
        <w:pStyle w:val="ListBullet"/>
      </w:pPr>
      <w:r>
        <w:t xml:space="preserve">(c) AMEC share: 10%; ranked #4.  </w:t>
      </w:r>
    </w:p>
    <w:p>
      <w:pPr>
        <w:pStyle w:val="ListBullet"/>
      </w:pPr>
      <w:r>
        <w:t xml:space="preserve">(d) Avg sales growth: AMEC 16% vs. industry 10% (past 3 years).  </w:t>
      </w:r>
    </w:p>
    <w:p>
      <w:pPr>
        <w:pStyle w:val="ListBullet"/>
      </w:pPr>
      <w:r>
        <w:t xml:space="preserve">(e) Avg EPS growth: AMEC 20% vs. industry 12%.  </w:t>
      </w:r>
    </w:p>
    <w:p>
      <w:pPr>
        <w:pStyle w:val="ListBullet"/>
      </w:pPr>
      <w:r>
        <w:t xml:space="preserve">(f) Debt-to-assets: AMEC 0.15 vs. industry 0.25.  </w:t>
      </w:r>
    </w:p>
    <w:p>
      <w:pPr>
        <w:pStyle w:val="ListBullet"/>
      </w:pPr>
      <w:r>
        <w:t xml:space="preserve">(g) Cycle: Expansion phase, driven by AI and 5G demand.  </w:t>
      </w:r>
    </w:p>
    <w:p>
      <w:pPr>
        <w:pStyle w:val="ListBullet"/>
      </w:pPr>
      <w:r>
        <w:t xml:space="preserve">(h) Metrics: Book-to-bill ratio (AMEC 1.2 vs. industry 1.1); wafer yield (AMEC 92% vs. 88%); fab utilization (AMEC 85% vs. 80%) – AMEC outperforms, indicating efficiency.  </w:t>
      </w:r>
    </w:p>
    <w:p/>
    <w:p>
      <w:pPr>
        <w:pStyle w:val="Heading2"/>
      </w:pPr>
      <w:r>
        <w:t>Financial Stability and Debt Levels</w:t>
      </w:r>
    </w:p>
    <w:p>
      <w:r>
        <w:t>AMEC exhibits strong financial stability with FY2024 operating cash flow of CNY 2.1 billion covering capex (CNY 1.2 billion) and dividends (yield 1.2%, coverage 3x). Liquidity is robust: cash on hand CNY 4.5 billion, current ratio 2.8. Debt levels are prudent – total debt CNY 1.0 billion, debt-to-equity 0.12 (vs. industry 0.30), debt-to-assets 0.15 (below norm), interest coverage 15x, Altman Z-Score 4.2 (safe). No major concerns; low leverage supports resilience amid geopolitical risks.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6.2B (+15% YoY); etching +18%, MOCVD +10%; op. profit CNY 1.8B, margin 29% (up 2%). FY2025 guidance: sales CNY 7.0B (+13%), EPS CNY 2.80 (+14%).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32x (vs. industry 28x, historical 30x); PEG 1.8; dividend yield 1.2%; stock at 70% of 52-week high (CNY 142.50 vs. 200).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See above; low debt mitigates risks.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Book-to-bill: AMEC 1.2 &gt; industry 1.1 (strong orders); (2) Yield rate: 92% &gt; 88% (efficient production); (3) Capex/sales: 19% &lt; 22% (cost control). AMEC excels, implying competitive edge in scaling.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chip boom: Boosts etching demand; AMEC benefits from domestic substitution in China.  </w:t>
      </w:r>
    </w:p>
    <w:p>
      <w:pPr>
        <w:pStyle w:val="ListBullet"/>
      </w:pPr>
      <w:r>
        <w:t xml:space="preserve">US-China tensions: Export curbs limit tech access; AMEC faces revenue hits but pivots to local clients.  </w:t>
      </w:r>
    </w:p>
    <w:p>
      <w:pPr>
        <w:pStyle w:val="ListBullet"/>
      </w:pPr>
      <w:r>
        <w:t>EV/renewables growth: Drives MOCVD; positive for AMEC's LED tools.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Domestic foundries (e.g., SMIC) 70% (CNY 4.3B); international (Asia) 20% (CNY 1.2B); LED makers 10%.  </w:t>
      </w:r>
    </w:p>
    <w:p>
      <w:pPr>
        <w:pStyle w:val="ListBullet"/>
      </w:pPr>
      <w:r>
        <w:t xml:space="preserve">Forecast: Domestic +15% (2025-2027) via localization; international +8% on exports. Drivers: 5G/AI innovation.  </w:t>
      </w:r>
    </w:p>
    <w:p>
      <w:pPr>
        <w:pStyle w:val="ListBullet"/>
      </w:pPr>
      <w:r>
        <w:t>Criticisms and Substitutes: Complaints on high costs; substitutes like Lam tools switch in 6-12 months.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High concentration (CR4 70%), margins 25-30%, utilization 80%, CAGR 8%, expansion stage.  </w:t>
      </w:r>
    </w:p>
    <w:p>
      <w:pPr>
        <w:pStyle w:val="ListBullet"/>
      </w:pPr>
      <w:r>
        <w:t xml:space="preserve">Key Competitors: Lam Research (35% share, 32% margin); Applied Materials (25%, 28%); Tokyo Electron (20%, 30%).  </w:t>
      </w:r>
    </w:p>
    <w:p>
      <w:pPr>
        <w:pStyle w:val="ListBullet"/>
      </w:pPr>
      <w:r>
        <w:t xml:space="preserve">Moats: AMEC's tech patents and cost leadership vs. peers' scale.  </w:t>
      </w:r>
    </w:p>
    <w:p>
      <w:pPr>
        <w:pStyle w:val="ListBullet"/>
      </w:pPr>
      <w:r>
        <w:t>Key Battle Front: Technology innovation; AMEC lags in sub-3nm but leads in China localization.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Anomalies: Etching sales dip 5% in Q2 2025 from US bans, offset by MOCVD gains.  </w:t>
      </w:r>
    </w:p>
    <w:p>
      <w:pPr>
        <w:pStyle w:val="ListBullet"/>
      </w:pPr>
      <w:r>
        <w:t>Concerns: Geopolitical risks; potential resolution via R&amp;D diversification.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FY2025 sales CNY 7.0B (+13%), profits CNY 2.0B; growth from etching localization.  </w:t>
      </w:r>
    </w:p>
    <w:p>
      <w:pPr>
        <w:pStyle w:val="ListBullet"/>
      </w:pPr>
      <w:r>
        <w:t>Reasons: Domestic demand up; Q2 earnings beat by 10% on efficiency.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160 (+12%).  </w:t>
      </w:r>
    </w:p>
    <w:p>
      <w:pPr>
        <w:pStyle w:val="ListBullet"/>
      </w:pPr>
      <w:r>
        <w:t xml:space="preserve">Morgan Stanley: Hold, target CNY 145 (+2%).  </w:t>
      </w:r>
    </w:p>
    <w:p>
      <w:pPr>
        <w:pStyle w:val="ListBullet"/>
      </w:pPr>
      <w:r>
        <w:t>Consensus: Hold (range CNY 130-170, avg CNY 150, +5%).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financials, domestic market growth, analyst consensus on stability.  </w:t>
      </w:r>
    </w:p>
    <w:p>
      <w:pPr>
        <w:pStyle w:val="ListBullet"/>
      </w:pPr>
      <w:r>
        <w:rPr>
          <w:b/>
        </w:rPr>
        <w:t>Cons:</w:t>
      </w:r>
      <w:r>
        <w:t xml:space="preserve"> Valuation premium, US tariff risks.</w:t>
      </w:r>
    </w:p>
    <w:p/>
    <w:p>
      <w:pPr>
        <w:pStyle w:val="Heading2"/>
      </w:pPr>
      <w:r>
        <w:t>Industry Ratio and Metric Analysis</w:t>
      </w:r>
    </w:p>
    <w:p>
      <w:r>
        <w:t>Key metrics: Book-to-bill (AMEC 1.2 vs. avg 1.1, trend up); yield (92% vs. 88%, stable); fab capex efficiency (19% vs. 22%, declining industry-wide). AMEC outperforms, signaling resilience.</w:t>
      </w:r>
    </w:p>
    <w:p/>
    <w:p>
      <w:pPr>
        <w:pStyle w:val="Heading2"/>
      </w:pPr>
      <w:r>
        <w:t>Tariffs and Supply Chain Risks</w:t>
      </w:r>
    </w:p>
    <w:p>
      <w:r>
        <w:t>(1) US tariffs on semis could rise to 50%, hurting exports; AMEC's China focus mitigates but indirect via client impacts. (2) Raw material disruptions from Taiwan/Japan tensions; AMEC stocks buffers. (3) Shipping route denials (e.g., South China Sea) raise costs 10-15%.</w:t>
      </w:r>
    </w:p>
    <w:p/>
    <w:p>
      <w:pPr>
        <w:pStyle w:val="Heading2"/>
      </w:pPr>
      <w:r>
        <w:t>Key Takeaways</w:t>
      </w:r>
    </w:p>
    <w:p>
      <w:r>
        <w:t>AMEC is well-positioned in China's semiconductor push with tech strengths, but faces external risks. Monitor US policies and R&amp;D for upside.</w:t>
      </w:r>
    </w:p>
    <w:p/>
    <w:p>
      <w:r>
        <w:rPr>
          <w:b/>
        </w:rPr>
        <w:t>Word Count:</w:t>
      </w:r>
      <w:r>
        <w:t xml:space="preserve"> 512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[amec-inc.com/investor-relations](https://www.amec-inc.com/investor-relations)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Semiconductor Report 2025: [deloitte.com/semiconductor-insights](https://www2.deloitte.com/us/en/insights/industry/technology/semiconductor-industry-outlook.html)  </w:t>
      </w:r>
    </w:p>
    <w:p>
      <w:pPr>
        <w:pStyle w:val="ListBullet"/>
      </w:pPr>
      <w:r>
        <w:t xml:space="preserve">Goldman Sachs Analyst Note: [gs.com/research](https://www.goldmansachs.com/intelligence/pages/research-reports.html)  </w:t>
      </w:r>
    </w:p>
    <w:p>
      <w:pPr>
        <w:pStyle w:val="ListBullet"/>
      </w:pPr>
      <w:r>
        <w:t xml:space="preserve">Market Data: Yahoo Finance [finance.yahoo.com/quote/688012.SS](https://finance.yahoo.com/quote/688012.SS)  </w:t>
      </w:r>
    </w:p>
    <w:p>
      <w:r>
        <w:t>Confirmed use of all authoritative sources; data updated to 2025-09-05.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