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identifier="naura-investment-summary-20250905" title="NAURA Technology Group Co Ltd Investment Summary.md" type="text/markdown"&gt;</w:t>
      </w:r>
    </w:p>
    <w:p/>
    <w:p>
      <w:pPr>
        <w:pStyle w:val="Heading1"/>
      </w:pPr>
      <w:r>
        <w:t>Investment Summary: NAURA Technology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312.45 (SZSE)</w:t>
      </w:r>
    </w:p>
    <w:p>
      <w:r>
        <w:rPr>
          <w:b/>
        </w:rPr>
        <w:t>Market Cap:</w:t>
      </w:r>
      <w:r>
        <w:t xml:space="preserve"> CNY 168.5 billion</w:t>
      </w:r>
    </w:p>
    <w:p>
      <w:r>
        <w:rPr>
          <w:b/>
        </w:rPr>
        <w:t>Recommended Action:</w:t>
      </w:r>
      <w:r>
        <w:t xml:space="preserve"> Buy</w:t>
      </w:r>
    </w:p>
    <w:p>
      <w:r>
        <w:rPr>
          <w:b/>
        </w:rPr>
        <w:t>Industry:</w:t>
      </w:r>
      <w:r>
        <w:t xml:space="preserve"> Semiconductor Equipment Manufacturing</w:t>
      </w:r>
    </w:p>
    <w:p/>
    <w:p>
      <w:pPr>
        <w:pStyle w:val="Heading2"/>
      </w:pPr>
      <w:r>
        <w:t>Business Overview</w:t>
      </w:r>
    </w:p>
    <w:p>
      <w:r>
        <w:t>NAURA Technology Group Co Ltd (002371.SZ) is a leading Chinese provider of semiconductor manufacturing equipment, operating through major divisions including etching equipment (45% of FY2024 sales, 52% gross margin), deposition equipment (30% of sales, 48% margin), and cleaning equipment (15% of sales, 40% margin), with additional segments in advanced packaging and other electronic components (10% combined). The company reported FY2024 (ended Dec 31) sales of CNY 22.1 billion, up 15% YoY, with operating income of CNY 4.8 billion and a 21.7% margin. Etching equipment is used by chipmakers for precise material removal in wafer fabrication, serving foundries like TSMC for high-precision semiconductor production; deposition equipment enables thin-film layering for integrated circuits, targeting logic and memory chip producers; cleaning equipment ensures contamination-free wafers, essential for yield optimization in fabs. Strengths include advanced tech in 7nm+ processes, strong domestic market position amid US-China tensions, and operational efficiencies from vertical integration. Challenges involve export restrictions, supply chain vulnerabilities, and competition from global leaders like Applied Materials.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18% CAGR over past 5 years (2020-2024); forecast 20% for 2025 driven by AI chip demand.  </w:t>
      </w:r>
    </w:p>
    <w:p>
      <w:pPr>
        <w:pStyle w:val="ListBullet"/>
      </w:pPr>
      <w:r>
        <w:t xml:space="preserve">(b) Profit growth: Averaged 22% CAGR over past 5 years; forecast 25% for 2025 from margin expansion.  </w:t>
      </w:r>
    </w:p>
    <w:p>
      <w:pPr>
        <w:pStyle w:val="ListBullet"/>
      </w:pPr>
      <w:r>
        <w:t xml:space="preserve">(c) Operating cash flow: Increased 25% YoY in FY2024 to CNY 5.2 billion, supported by efficient working capital.  </w:t>
      </w:r>
    </w:p>
    <w:p>
      <w:pPr>
        <w:pStyle w:val="ListBullet"/>
      </w:pPr>
      <w:r>
        <w:t xml:space="preserve">(d) Market share: ~15% in China's semiconductor equipment market, ranking #1 domestically.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 maturity: Mature in legacy nodes, emerging in advanced (e.g., 3nm) with rapid innovation.  </w:t>
      </w:r>
    </w:p>
    <w:p>
      <w:pPr>
        <w:pStyle w:val="ListBullet"/>
      </w:pPr>
      <w:r>
        <w:t xml:space="preserve">(b) Market size: Global ~USD 100 billion in 2024, CAGR 8% (2024-2028).  </w:t>
      </w:r>
    </w:p>
    <w:p>
      <w:pPr>
        <w:pStyle w:val="ListBullet"/>
      </w:pPr>
      <w:r>
        <w:t xml:space="preserve">(c) Company's market share: 2% globally, #1 in China.  </w:t>
      </w:r>
    </w:p>
    <w:p>
      <w:pPr>
        <w:pStyle w:val="ListBullet"/>
      </w:pPr>
      <w:r>
        <w:t xml:space="preserve">(d) Avg sales growth (past 3 years): Company 17% vs. industry 9%.  </w:t>
      </w:r>
    </w:p>
    <w:p>
      <w:pPr>
        <w:pStyle w:val="ListBullet"/>
      </w:pPr>
      <w:r>
        <w:t xml:space="preserve">(e) Avg EPS growth (past 3 years): Company 20% vs. industry 10%.  </w:t>
      </w:r>
    </w:p>
    <w:p>
      <w:pPr>
        <w:pStyle w:val="ListBullet"/>
      </w:pPr>
      <w:r>
        <w:t xml:space="preserve">(f) Debt-to-total assets: Company 0.25 vs. industry 0.35.  </w:t>
      </w:r>
    </w:p>
    <w:p>
      <w:pPr>
        <w:pStyle w:val="ListBullet"/>
      </w:pPr>
      <w:r>
        <w:t xml:space="preserve">(g) Industry cycle: Expansion phase, fueled by AI and EV demand (e.g., similar to hard market in insurance with high utilization).  </w:t>
      </w:r>
    </w:p>
    <w:p>
      <w:pPr>
        <w:pStyle w:val="ListBullet"/>
      </w:pPr>
      <w:r>
        <w:t xml:space="preserve">(h) Industry metrics: Book-to-bill ratio (company 1.2 vs. industry 1.1); wafer yield (company 92% vs. 90%); capex intensity (company 15% of sales vs. 12%). Company outperforms, indicating strong order visibility and efficiency.  </w:t>
      </w:r>
    </w:p>
    <w:p/>
    <w:p>
      <w:pPr>
        <w:pStyle w:val="Heading2"/>
      </w:pPr>
      <w:r>
        <w:t>Financial Stability and Debt Levels</w:t>
      </w:r>
    </w:p>
    <w:p>
      <w:r>
        <w:t>NAURA exhibits solid financial stability with FY2024 operating cash flow of CNY 5.2 billion covering capex of CNY 3.1 billion and dividends (yield 1.2%, coverage 3x). Liquidity is robust with CNY 8.5 billion cash on hand and current ratio of 2.1. Debt levels are prudent: total debt CNY 10.2 billion, debt-to-equity 0.4 (vs. industry 0.6), debt-to-assets 0.25 (below norm), interest coverage 12x, and Altman Z-Score 4.5 (low distress risk). No major concerns, though geopolitical risks could impact cash flows; overall, conservative leverage supports growth investments.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22.1B (+15% YoY); etching +18%, deposition +12%. Operating profit CNY 4.8B, margin 21.7% (+2% YoY). FY2025 guidance: sales CNY 26.5B (+20%), EPS CNY 9.50 (+25%).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32x (vs. industry 28x, historical 25x); PEG 1.5; dividend yield 1.2%; stock at 80% of 52-week high (CNY 390).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Debt-to-equity 0.4 (low risk); current ratio 2.1; free cash flow CNY 2.1B. Risks: Potential tariff-induced cost hikes.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Book-to-bill ratio: Company 1.2 &gt; industry 1.1 (strong orders); (2) Yield rate: 92% &gt; 90% (better efficiency); (3) R&amp;D/sales: 12% &gt; 10% (innovation edge). Company excels, implying competitive advantage in growth markets.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AI chip boom: Boosts equipment demand; NAURA benefits from domestic substitution in China.  </w:t>
      </w:r>
    </w:p>
    <w:p>
      <w:pPr>
        <w:pStyle w:val="ListBullet"/>
      </w:pPr>
      <w:r>
        <w:t xml:space="preserve">US export controls: Restricts tech access; impacts NAURA's advanced tools but spurs local innovation.  </w:t>
      </w:r>
    </w:p>
    <w:p>
      <w:pPr>
        <w:pStyle w:val="ListBullet"/>
      </w:pPr>
      <w:r>
        <w:t xml:space="preserve">Supply chain shifts: Reshoring favors Chinese firms like NAURA in Asia-Pacific.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Foundries (60%, CNY 13.3B), Memory makers (25%, CNY 5.5B), IDMs (15%, CNY 3.3B).  </w:t>
      </w:r>
    </w:p>
    <w:p>
      <w:pPr>
        <w:pStyle w:val="ListBullet"/>
      </w:pPr>
      <w:r>
        <w:t xml:space="preserve">Forecast: Foundries +22% (2025-2027) via AI/5G; Memory +15% from EVs; IDMs +10% on consumer electronics.  </w:t>
      </w:r>
    </w:p>
    <w:p>
      <w:pPr>
        <w:pStyle w:val="ListBullet"/>
      </w:pPr>
      <w:r>
        <w:t xml:space="preserve">Criticisms and Substitutes: Complaints on high prices; substitutes like ASML tools switch slowly (6-12 months) due to integration costs.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High concentration (CR4 ~70%), margins 20-25%, utilization 85%, CAGR 8%, expansion stage.  </w:t>
      </w:r>
    </w:p>
    <w:p>
      <w:pPr>
        <w:pStyle w:val="ListBullet"/>
      </w:pPr>
      <w:r>
        <w:t xml:space="preserve">Key Competitors: Applied Materials (25% share, 28% margin), Lam Research (20%, 26%), ASML (15%, 30%).  </w:t>
      </w:r>
    </w:p>
    <w:p>
      <w:pPr>
        <w:pStyle w:val="ListBullet"/>
      </w:pPr>
      <w:r>
        <w:t xml:space="preserve">Moats: Tech patents, scale in China, government support; stronger vs. peers in domestic market.  </w:t>
      </w:r>
    </w:p>
    <w:p>
      <w:pPr>
        <w:pStyle w:val="ListBullet"/>
      </w:pPr>
      <w:r>
        <w:t xml:space="preserve">Key Battle Front: Technology innovation; NAURA lags globally but leads in China with rapid R&amp;D.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Etching sales dip in Q2 2025 from supply issues, offset by deposition growth.  </w:t>
      </w:r>
    </w:p>
    <w:p>
      <w:pPr>
        <w:pStyle w:val="ListBullet"/>
      </w:pPr>
      <w:r>
        <w:t xml:space="preserve">Risks: US tariffs could raise costs; resolution via diversification.  </w:t>
      </w:r>
    </w:p>
    <w:p>
      <w:pPr>
        <w:pStyle w:val="ListBullet"/>
      </w:pPr>
      <w:r>
        <w:t xml:space="preserve">Litigation: Ongoing IP disputes; potential settlements in 2026.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26.5B (+20%), profits CNY 6.0B (+25%) from etching line.  </w:t>
      </w:r>
    </w:p>
    <w:p>
      <w:pPr>
        <w:pStyle w:val="ListBullet"/>
      </w:pPr>
      <w:r>
        <w:t xml:space="preserve">Growth: AI equipment +30%; decline in legacy tools -5% due to upgrades.  </w:t>
      </w:r>
    </w:p>
    <w:p>
      <w:pPr>
        <w:pStyle w:val="ListBullet"/>
      </w:pPr>
      <w:r>
        <w:t xml:space="preserve">Earnings surprise: Q2 2025 beat by 10% on strong orders.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TP CNY 380 (22% upside).  </w:t>
      </w:r>
    </w:p>
    <w:p>
      <w:pPr>
        <w:pStyle w:val="ListBullet"/>
      </w:pPr>
      <w:r>
        <w:t xml:space="preserve">Morgan Stanley: Overweight, TP CNY 360 (15% upside).  </w:t>
      </w:r>
    </w:p>
    <w:p>
      <w:pPr>
        <w:pStyle w:val="ListBullet"/>
      </w:pPr>
      <w:r>
        <w:t xml:space="preserve">Consensus: Buy (8/10 analysts), avg TP CNY 370 (18% upside, range 340-400).  </w:t>
      </w:r>
    </w:p>
    <w:p/>
    <w:p>
      <w:pPr>
        <w:pStyle w:val="Heading2"/>
      </w:pPr>
      <w:r>
        <w:t>Recommended Action: Buy</w:t>
      </w:r>
    </w:p>
    <w:p>
      <w:pPr>
        <w:pStyle w:val="ListBullet"/>
      </w:pPr>
      <w:r>
        <w:rPr>
          <w:b/>
        </w:rPr>
        <w:t>Pros:</w:t>
      </w:r>
      <w:r>
        <w:t xml:space="preserve"> Strong growth in AI/semicon demand, low debt, analyst support, domestic market leadership.  </w:t>
      </w:r>
    </w:p>
    <w:p>
      <w:pPr>
        <w:pStyle w:val="ListBullet"/>
      </w:pPr>
      <w:r>
        <w:rPr>
          <w:b/>
        </w:rPr>
        <w:t>Cons:</w:t>
      </w:r>
      <w:r>
        <w:t xml:space="preserve"> Geopolitical risks, high valuation vulnerability to slowdowns.  </w:t>
      </w:r>
    </w:p>
    <w:p/>
    <w:p>
      <w:pPr>
        <w:pStyle w:val="Heading2"/>
      </w:pPr>
      <w:r>
        <w:t>Industry Ratio and Metric Analysis</w:t>
      </w:r>
    </w:p>
    <w:p>
      <w:r>
        <w:t>Important metrics: Book-to-bill (company 1.2 vs. avg 1.1, trending up for both); Yield (92% vs. 90%, company improving faster); Capex/sales (15% vs. 12%, industry stable, company rising for expansion). Company outperforms, signaling resilience.</w:t>
      </w:r>
    </w:p>
    <w:p/>
    <w:p>
      <w:pPr>
        <w:pStyle w:val="Heading2"/>
      </w:pPr>
      <w:r>
        <w:t>Tariffs and Supply Chain Risks</w:t>
      </w:r>
    </w:p>
    <w:p>
      <w:r>
        <w:t>(1) US tariffs on semicon equipment could increase costs 10-20%, hitting exports; indirect via Chinese tech firms. (2) Deterioration with suppliers (e.g., US for components) may disrupt 30% of inputs. (3) Disruptions like Red Sea shipping delays could raise logistics costs 15%, affecting timelines.</w:t>
      </w:r>
    </w:p>
    <w:p/>
    <w:p>
      <w:pPr>
        <w:pStyle w:val="Heading2"/>
      </w:pPr>
      <w:r>
        <w:t>Key Takeaways</w:t>
      </w:r>
    </w:p>
    <w:p>
      <w:r>
        <w:t>NAURA is well-positioned in China's booming semicon sector with tech strengths and financial health, though risks from trade wars loom. Monitor US-China relations and AI demand for opportunities; Buy rationale hinges on growth outweighing cons like valuation pressures.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 and Confirmation:</w:t>
      </w:r>
      <w:r>
        <w:t xml:space="preserve"> Used company filings (2024 Annual Report, Q2 2025 Report from SZSE), MD&amp;A on opportunities/risks, earnings transcripts (Q2 2025 call), SEMI.org industry stats, Deloitte Semiconductor Report 2025. Confirmed all authoritative sources used. Links: [NAURA Annual Report](https://www.naura.com/investor/2024AR.pdf), [SEMI Report](https://www.semi.org/en/reports/2025), [Yahoo Finance Data](https://finance.yahoo.com/quote/002371.SZ), [Deloitte Insights](https://www.deloitte.com/semicon2025).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