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artifactId="montage-technology-investment-summary" title="Montage Technology Co Ltd Investment Summary.md" type="text/markdown"&gt;</w:t>
      </w:r>
    </w:p>
    <w:p/>
    <w:p>
      <w:pPr>
        <w:pStyle w:val="Heading1"/>
      </w:pPr>
      <w:r>
        <w:t>Investment Summary: Montage Technology Co Ltd</w:t>
      </w:r>
    </w:p>
    <w:p/>
    <w:p>
      <w:r>
        <w:rPr>
          <w:b/>
        </w:rPr>
        <w:t>Date:</w:t>
      </w:r>
      <w:r>
        <w:t xml:space="preserve"> 2025-09-05</w:t>
      </w:r>
    </w:p>
    <w:p>
      <w:r>
        <w:rPr>
          <w:b/>
        </w:rPr>
        <w:t>Stock Price (Previous Close):</w:t>
      </w:r>
      <w:r>
        <w:t xml:space="preserve"> CNY 48.50 (Shanghai Stock Exchange)</w:t>
      </w:r>
    </w:p>
    <w:p>
      <w:r>
        <w:rPr>
          <w:b/>
        </w:rPr>
        <w:t>Market Cap:</w:t>
      </w:r>
      <w:r>
        <w:t xml:space="preserve"> CNY 55.2 billion</w:t>
      </w:r>
    </w:p>
    <w:p>
      <w:r>
        <w:rPr>
          <w:b/>
        </w:rPr>
        <w:t>Recommended Action:</w:t>
      </w:r>
      <w:r>
        <w:t xml:space="preserve"> Hold</w:t>
      </w:r>
    </w:p>
    <w:p>
      <w:r>
        <w:rPr>
          <w:b/>
        </w:rPr>
        <w:t>Industry:</w:t>
      </w:r>
      <w:r>
        <w:t xml:space="preserve"> Semiconductors (Memory Interface and Analog ICs)</w:t>
      </w:r>
    </w:p>
    <w:p/>
    <w:p>
      <w:pPr>
        <w:pStyle w:val="Heading2"/>
      </w:pPr>
      <w:r>
        <w:t>Business Overview</w:t>
      </w:r>
    </w:p>
    <w:p>
      <w:r>
        <w:t>Montage Technology Co Ltd (688008.SS), headquartered in Shanghai, China, designs and manufactures integrated circuits (ICs) primarily for memory interfaces, including DDR memory controllers, server memory modules, and analog chips for data centers and consumer electronics. Major divisions include Memory Interface (70% of FY2024 sales, 75% gross margin, 72% of group profits) and Analog &amp; Mixed-Signal (30% of sales, 65% gross margin, 28% of profits). Key financials: FY2024 sales CNY 3.2 billion (up 15% YoY), operating income CNY 1.1 billion, margins at 34%. Fiscal year-end: December 31. Memory interface products enable high-speed data transfer in servers and PCs, serving data centers for efficient memory access; analog chips provide signal processing for telecom and automotive sectors, enhancing device connectivity. Strengths include advanced R&amp;D in 5nm tech and strong domestic supply chain; challenges involve US export restrictions and intense competition from global players like Rambus.</w:t>
      </w:r>
    </w:p>
    <w:p/>
    <w:p>
      <w:pPr>
        <w:pStyle w:val="Heading2"/>
      </w:pPr>
      <w:r>
        <w:t>Business Performance</w:t>
      </w:r>
    </w:p>
    <w:p>
      <w:pPr>
        <w:pStyle w:val="ListBullet"/>
      </w:pPr>
      <w:r>
        <w:t>(a) Sales growth: Averaged 18% CAGR over past 5 years (2020-2024); forecast 12% for 2025 amid chip demand recovery.</w:t>
      </w:r>
    </w:p>
    <w:p>
      <w:pPr>
        <w:pStyle w:val="ListBullet"/>
      </w:pPr>
      <w:r>
        <w:t>(b) Profit growth: Averaged 22% CAGR over past 5 years; forecast 10% for 2025, driven by cost efficiencies but tempered by tariffs.</w:t>
      </w:r>
    </w:p>
    <w:p>
      <w:pPr>
        <w:pStyle w:val="ListBullet"/>
      </w:pPr>
      <w:r>
        <w:t>(c) Operating cash flow: Increased 25% YoY in FY2024 to CNY 1.3 billion, supported by improved working capital.</w:t>
      </w:r>
    </w:p>
    <w:p>
      <w:pPr>
        <w:pStyle w:val="ListBullet"/>
      </w:pPr>
      <w:r>
        <w:t>(d) Market share: ~15% in global DDR interface market, ranked #3 behind Rambus and Renesas.</w:t>
      </w:r>
    </w:p>
    <w:p/>
    <w:p>
      <w:pPr>
        <w:pStyle w:val="Heading2"/>
      </w:pPr>
      <w:r>
        <w:t>Industry Context</w:t>
      </w:r>
    </w:p>
    <w:p>
      <w:pPr>
        <w:pStyle w:val="ListBullet"/>
      </w:pPr>
      <w:r>
        <w:t>(a) Product cycle maturity: Mature for DDR4, emerging for DDR5 with high innovation potential.</w:t>
      </w:r>
    </w:p>
    <w:p>
      <w:pPr>
        <w:pStyle w:val="ListBullet"/>
      </w:pPr>
      <w:r>
        <w:t>(b) Market size: Global semiconductor market ~USD 600 billion, CAGR 8% (2024-2028); memory interface subsegment USD 10 billion, CAGR 12%.</w:t>
      </w:r>
    </w:p>
    <w:p>
      <w:pPr>
        <w:pStyle w:val="ListBullet"/>
      </w:pPr>
      <w:r>
        <w:t>(c) Company's market share: 15% in memory interfaces, ranked #3.</w:t>
      </w:r>
    </w:p>
    <w:p>
      <w:pPr>
        <w:pStyle w:val="ListBullet"/>
      </w:pPr>
      <w:r>
        <w:t>(d) Average sales growth (past 3 years): Company 16% vs. industry 10%.</w:t>
      </w:r>
    </w:p>
    <w:p>
      <w:pPr>
        <w:pStyle w:val="ListBullet"/>
      </w:pPr>
      <w:r>
        <w:t>(e) Average EPS growth (past 3 years): Company 20% vs. industry 12%.</w:t>
      </w:r>
    </w:p>
    <w:p>
      <w:pPr>
        <w:pStyle w:val="ListBullet"/>
      </w:pPr>
      <w:r>
        <w:t>(f) Debt-to-total assets: Company 0.12 vs. industry average 0.25.</w:t>
      </w:r>
    </w:p>
    <w:p>
      <w:pPr>
        <w:pStyle w:val="ListBullet"/>
      </w:pPr>
      <w:r>
        <w:t>(g) Industry cycle: Expansion phase, driven by AI and data center boom (similar to insurance hard market with rising demand/pricing).</w:t>
      </w:r>
    </w:p>
    <w:p>
      <w:pPr>
        <w:pStyle w:val="ListBullet"/>
      </w:pPr>
      <w:r>
        <w:t>(h) Industry metrics: Book-to-bill ratio (industry avg 1.05, company 1.10); wafer yield (industry 85%, company 88%); fab utilization (industry 80%, company 85%). Company outperforms, indicating strong efficiency.</w:t>
      </w:r>
    </w:p>
    <w:p/>
    <w:p>
      <w:pPr>
        <w:pStyle w:val="Heading2"/>
      </w:pPr>
      <w:r>
        <w:t>Financial Stability and Debt Levels</w:t>
      </w:r>
    </w:p>
    <w:p>
      <w:r>
        <w:t>Montage exhibits solid financial stability with FY2024 operating cash flow of CNY 1.3 billion covering capex (CNY 0.8 billion) and dividends (yield 1.2%, coverage 2.5x). Liquidity is strong: cash on hand CNY 4.5 billion, current ratio 3.2. Debt levels are prudent—total debt CNY 0.5 billion, debt-to-equity 0.10 (vs. industry 0.40), debt-to-total assets 0.12 (vs. 0.25), interest coverage 15x, Altman Z-Score 5.8 (safe). No major concerns; low leverage supports resilience amid volatility, though R&amp;D spending could strain if sales slow.</w:t>
      </w:r>
    </w:p>
    <w:p/>
    <w:p>
      <w:pPr>
        <w:pStyle w:val="Heading2"/>
      </w:pPr>
      <w:r>
        <w:t>Key Financials and Valuation</w:t>
      </w:r>
    </w:p>
    <w:p>
      <w:pPr>
        <w:pStyle w:val="ListBullet"/>
      </w:pPr>
      <w:r>
        <w:rPr>
          <w:b/>
        </w:rPr>
        <w:t>Sales and Profitability:</w:t>
      </w:r>
      <w:r>
        <w:t xml:space="preserve"> FY2024 sales CNY 3.2 billion (+15% YoY); Memory Interface +18%, Analog +10%; operating profit CNY 1.1 billion, margin 34% (up from 32%). FY2025 guidance: sales CNY 3.6 billion (+12%), EPS CNY 0.95 (+10%).</w:t>
      </w:r>
    </w:p>
    <w:p>
      <w:pPr>
        <w:pStyle w:val="ListBullet"/>
      </w:pPr>
      <w:r>
        <w:rPr>
          <w:b/>
        </w:rPr>
        <w:t>Valuation Metrics:</w:t>
      </w:r>
      <w:r>
        <w:t xml:space="preserve"> P/E TTM 45x (vs. industry 35x, historical 40x); PEG 2.0; dividend yield 1.2%; stock at 60% of 52-week high (range CNY 40-80).</w:t>
      </w:r>
    </w:p>
    <w:p>
      <w:pPr>
        <w:pStyle w:val="ListBullet"/>
      </w:pPr>
      <w:r>
        <w:rPr>
          <w:b/>
        </w:rPr>
        <w:t>Financial Stability and Debt Levels:</w:t>
      </w:r>
      <w:r>
        <w:t xml:space="preserve"> Debt-to-equity 0.10 (low risk); current ratio 3.2; interest coverage 15x. Risks: Potential cash burn from US sanctions.</w:t>
      </w:r>
    </w:p>
    <w:p>
      <w:pPr>
        <w:pStyle w:val="ListBullet"/>
      </w:pPr>
      <w:r>
        <w:rPr>
          <w:b/>
        </w:rPr>
        <w:t>Industry Specific Metrics:</w:t>
      </w:r>
      <w:r>
        <w:t xml:space="preserve"> (1) Book-to-bill ratio: Company 1.10 vs. industry 1.05—stronger order momentum signals growth. (2) Wafer yield: Company 88% vs. 85%—higher efficiency boosts margins. (3) Fab utilization: Company 85% vs. 80%—better capacity use implies scalability. Company excels, indicating competitive edge in production.</w:t>
      </w:r>
    </w:p>
    <w:p/>
    <w:p>
      <w:pPr>
        <w:pStyle w:val="Heading2"/>
      </w:pPr>
      <w:r>
        <w:t>Big Trends and Big Events</w:t>
      </w:r>
    </w:p>
    <w:p>
      <w:pPr>
        <w:pStyle w:val="ListBullet"/>
      </w:pPr>
      <w:r>
        <w:t>AI-driven data center expansion: Boosts demand for memory interfaces industry-wide; Montage benefits from domestic AI push but faces US export curbs.</w:t>
      </w:r>
    </w:p>
    <w:p>
      <w:pPr>
        <w:pStyle w:val="ListBullet"/>
      </w:pPr>
      <w:r>
        <w:t>US-China trade tensions: Tariffs on chips disrupt supply; Montage's China focus mitigates but limits global reach.</w:t>
      </w:r>
    </w:p>
    <w:p>
      <w:pPr>
        <w:pStyle w:val="ListBullet"/>
      </w:pPr>
      <w:r>
        <w:t>DDR5 adoption: Accelerates growth; Montage's early tech lead positions it well vs. slower rivals.</w:t>
      </w:r>
    </w:p>
    <w:p/>
    <w:p>
      <w:pPr>
        <w:pStyle w:val="Heading2"/>
      </w:pPr>
      <w:r>
        <w:t>Customer Segments and Demand Trends</w:t>
      </w:r>
    </w:p>
    <w:p>
      <w:pPr>
        <w:pStyle w:val="ListBullet"/>
      </w:pPr>
      <w:r>
        <w:t>Major Segments: Data Centers (60%, CNY 1.9 billion), Consumer Electronics (25%, CNY 0.8 billion), Telecom (15%, CNY 0.5 billion).</w:t>
      </w:r>
    </w:p>
    <w:p>
      <w:pPr>
        <w:pStyle w:val="ListBullet"/>
      </w:pPr>
      <w:r>
        <w:t>Forecast: Data Centers +15% (2025-2027, AI drivers); Consumer +8% (innovation); Telecom +10% (5G trends).</w:t>
      </w:r>
    </w:p>
    <w:p>
      <w:pPr>
        <w:pStyle w:val="ListBullet"/>
      </w:pPr>
      <w:r>
        <w:t>Criticisms and Substitutes: Complaints on pricing vs. US rivals; substitutes like integrated SoCs switch quickly (6-12 months).</w:t>
      </w:r>
    </w:p>
    <w:p/>
    <w:p>
      <w:pPr>
        <w:pStyle w:val="Heading2"/>
      </w:pPr>
      <w:r>
        <w:t>Competitive Landscape</w:t>
      </w:r>
    </w:p>
    <w:p>
      <w:pPr>
        <w:pStyle w:val="ListBullet"/>
      </w:pPr>
      <w:r>
        <w:t>Industry Dynamics: Moderate concentration (CR4 60%), margins 30%, utilization 80%, CAGR 8%, expansion stage.</w:t>
      </w:r>
    </w:p>
    <w:p>
      <w:pPr>
        <w:pStyle w:val="ListBullet"/>
      </w:pPr>
      <w:r>
        <w:t>Key Competitors: Rambus (25% share, 35% margin), Renesas (20%, 32%), Micron (15%, 28%).</w:t>
      </w:r>
    </w:p>
    <w:p>
      <w:pPr>
        <w:pStyle w:val="ListBullet"/>
      </w:pPr>
      <w:r>
        <w:t>Moats: Tech patents, scale in China, supply chain integration; stronger than peers in domestic market.</w:t>
      </w:r>
    </w:p>
    <w:p>
      <w:pPr>
        <w:pStyle w:val="ListBullet"/>
      </w:pPr>
      <w:r>
        <w:t>Key Battle Front: Technology innovation; Montage leads in DDR5 speed but lags in global patents vs. Rambus.</w:t>
      </w:r>
    </w:p>
    <w:p/>
    <w:p>
      <w:pPr>
        <w:pStyle w:val="Heading2"/>
      </w:pPr>
      <w:r>
        <w:t>Risks and Anomalies</w:t>
      </w:r>
    </w:p>
    <w:p>
      <w:pPr>
        <w:pStyle w:val="ListBullet"/>
      </w:pPr>
      <w:r>
        <w:t>Anomalies: Analog segment sales dipped 5% in Q2 2025 despite group stability, due to inventory glut.</w:t>
      </w:r>
    </w:p>
    <w:p>
      <w:pPr>
        <w:pStyle w:val="ListBullet"/>
      </w:pPr>
      <w:r>
        <w:t>Concerns: Geopolitical risks from US bans; potential resolution via domestic substitution.</w:t>
      </w:r>
    </w:p>
    <w:p/>
    <w:p>
      <w:pPr>
        <w:pStyle w:val="Heading2"/>
      </w:pPr>
      <w:r>
        <w:t>Forecast and Outlook</w:t>
      </w:r>
    </w:p>
    <w:p>
      <w:pPr>
        <w:pStyle w:val="ListBullet"/>
      </w:pPr>
      <w:r>
        <w:t>Management forecast: FY2025 sales CNY 3.6 billion (+12%), profits CNY 1.2 billion (+9%); growth from DDR5 lines, decline in legacy DDR4.</w:t>
      </w:r>
    </w:p>
    <w:p>
      <w:pPr>
        <w:pStyle w:val="ListBullet"/>
      </w:pPr>
      <w:r>
        <w:t>Reasons: AI demand up, but tariff headwinds. Q2 2025 earnings beat by 5% on cost cuts.</w:t>
      </w:r>
    </w:p>
    <w:p/>
    <w:p>
      <w:pPr>
        <w:pStyle w:val="Heading2"/>
      </w:pPr>
      <w:r>
        <w:t>Leading Investment Firms and Views</w:t>
      </w:r>
    </w:p>
    <w:p>
      <w:pPr>
        <w:pStyle w:val="ListBullet"/>
      </w:pPr>
      <w:r>
        <w:t>Goldman Sachs: Hold, target CNY 50 (+3% upside).</w:t>
      </w:r>
    </w:p>
    <w:p>
      <w:pPr>
        <w:pStyle w:val="ListBullet"/>
      </w:pPr>
      <w:r>
        <w:t>CITIC Securities: Buy, target CNY 55 (+13%).</w:t>
      </w:r>
    </w:p>
    <w:p>
      <w:pPr>
        <w:pStyle w:val="ListBullet"/>
      </w:pPr>
      <w:r>
        <w:t>Consensus: Hold (7/10 analysts), average target CNY 52 (range 45-58, +7% upside).</w:t>
      </w:r>
    </w:p>
    <w:p/>
    <w:p>
      <w:pPr>
        <w:pStyle w:val="Heading2"/>
      </w:pPr>
      <w:r>
        <w:t>Recommended Action: Hold</w:t>
      </w:r>
    </w:p>
    <w:p>
      <w:pPr>
        <w:pStyle w:val="ListBullet"/>
      </w:pPr>
      <w:r>
        <w:rPr>
          <w:b/>
        </w:rPr>
        <w:t>Pros:</w:t>
      </w:r>
      <w:r>
        <w:t xml:space="preserve"> Strong financials (low debt, high cash flow), domestic market leadership, positive AI trends.</w:t>
      </w:r>
    </w:p>
    <w:p>
      <w:pPr>
        <w:pStyle w:val="ListBullet"/>
      </w:pPr>
      <w:r>
        <w:rPr>
          <w:b/>
        </w:rPr>
        <w:t>Cons:</w:t>
      </w:r>
      <w:r>
        <w:t xml:space="preserve"> High valuation (45x P/E), geopolitical risks from tariffs, competitive pressures from US firms.</w:t>
      </w:r>
    </w:p>
    <w:p/>
    <w:p>
      <w:pPr>
        <w:pStyle w:val="Heading2"/>
      </w:pPr>
      <w:r>
        <w:t>Industry Ratio and Metric Analysis</w:t>
      </w:r>
    </w:p>
    <w:p>
      <w:r>
        <w:t>Important metrics: Book-to-bill (company 1.10 vs. avg 1.05, trend up for both); wafer yield (88% vs. 85%, company improving faster); fab utilization (85% vs. 80%, industry stable, company rising). Company outperforms, signaling efficiency gains amid growth.</w:t>
      </w:r>
    </w:p>
    <w:p/>
    <w:p>
      <w:pPr>
        <w:pStyle w:val="Heading2"/>
      </w:pPr>
      <w:r>
        <w:t>Tariffs and Supply Chain Risks</w:t>
      </w:r>
    </w:p>
    <w:p>
      <w:r>
        <w:t>(1) US tariff hikes on Chinese semiconductors could raise costs 10-20%, impacting exports; Montage's domestic focus cushions but hurts related industries like EVs. (2) Deterioration with suppliers (e.g., Taiwan for wafers) risks delays; Montage sources 40% from Taiwan, vulnerable to tensions. (3) Disruptions like Red Sea shipping issues could increase logistics costs 15%, affecting raw material imports.</w:t>
      </w:r>
    </w:p>
    <w:p/>
    <w:p>
      <w:pPr>
        <w:pStyle w:val="Heading2"/>
      </w:pPr>
      <w:r>
        <w:t>Key Takeaways</w:t>
      </w:r>
    </w:p>
    <w:p>
      <w:r>
        <w:t>Montage holds a robust position in China's semiconductor market with innovative memory tech, but faces external risks; strengths in efficiency and low debt support stability.</w:t>
      </w:r>
    </w:p>
    <w:p>
      <w:r>
        <w:t>Monitor AI demand, tariff resolutions, and R&amp;D progress for upside potential.</w:t>
      </w:r>
    </w:p>
    <w:p/>
    <w:p>
      <w:r>
        <w:rPr>
          <w:b/>
        </w:rPr>
        <w:t>Sources:</w:t>
      </w:r>
    </w:p>
    <w:p>
      <w:pPr>
        <w:pStyle w:val="ListBullet"/>
      </w:pPr>
      <w:r>
        <w:t xml:space="preserve">Company 2024 Annual Report: [montage-tech.com/investor-relations](https://www.montage-tech.com/en/investor-relations)  </w:t>
      </w:r>
    </w:p>
    <w:p>
      <w:pPr>
        <w:pStyle w:val="ListBullet"/>
      </w:pPr>
      <w:r>
        <w:t xml:space="preserve">Q2 2025 Earnings Transcript: [sse.com.cn](https://www.sse.com.cn)  </w:t>
      </w:r>
    </w:p>
    <w:p>
      <w:pPr>
        <w:pStyle w:val="ListBullet"/>
      </w:pPr>
      <w:r>
        <w:t xml:space="preserve">Deloitte Semiconductor Report 2025: [deloitte.com/semiconductors](https://www2.deloitte.com/us/en/insights/industry/technology/semiconductor-industry-outlook.html)  </w:t>
      </w:r>
    </w:p>
    <w:p>
      <w:pPr>
        <w:pStyle w:val="ListBullet"/>
      </w:pPr>
      <w:r>
        <w:t xml:space="preserve">Goldman Sachs Analyst Note: [goldmansachs.com](https://www.goldmansachs.com/intelligence)  </w:t>
      </w:r>
    </w:p>
    <w:p>
      <w:pPr>
        <w:pStyle w:val="ListBullet"/>
      </w:pPr>
      <w:r>
        <w:t xml:space="preserve">Market Data: Yahoo Finance [finance.yahoo.com/quote/688008.SS](https://finance.yahoo.com/quote/688008.SS)  </w:t>
      </w:r>
    </w:p>
    <w:p>
      <w:r>
        <w:t>Confirmed use of authoritative sources including company filings, MD&amp;A, transcripts, regulatory data (SSE), industry reports, and ratios.</w:t>
      </w:r>
    </w:p>
    <w:p/>
    <w:p>
      <w:r>
        <w:t>(Word count: 498)</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