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artifact_id="transsion-investment-summary" title="Shenzhen Transsion Holdings Co Ltd Investment Summary.md" type="text/markdown"&gt;</w:t>
      </w:r>
    </w:p>
    <w:p/>
    <w:p>
      <w:pPr>
        <w:pStyle w:val="Heading1"/>
      </w:pPr>
      <w:r>
        <w:t>Investment Summary: Shenzhen Transsion Holdings Co Ltd</w:t>
      </w:r>
    </w:p>
    <w:p/>
    <w:p>
      <w:r>
        <w:rPr>
          <w:b/>
        </w:rPr>
        <w:t>Date:</w:t>
      </w:r>
      <w:r>
        <w:t xml:space="preserve"> 2025-09-05</w:t>
      </w:r>
    </w:p>
    <w:p>
      <w:r>
        <w:rPr>
          <w:b/>
        </w:rPr>
        <w:t>Stock Price (Previous Close):</w:t>
      </w:r>
      <w:r>
        <w:t xml:space="preserve"> CNY 78.50</w:t>
      </w:r>
    </w:p>
    <w:p>
      <w:r>
        <w:rPr>
          <w:b/>
        </w:rPr>
        <w:t>Market Cap:</w:t>
      </w:r>
      <w:r>
        <w:t xml:space="preserve"> CNY 62.8 billion</w:t>
      </w:r>
    </w:p>
    <w:p>
      <w:r>
        <w:rPr>
          <w:b/>
        </w:rPr>
        <w:t>Recommended Action:</w:t>
      </w:r>
      <w:r>
        <w:t xml:space="preserve"> Hold</w:t>
      </w:r>
    </w:p>
    <w:p>
      <w:r>
        <w:rPr>
          <w:b/>
        </w:rPr>
        <w:t>Industry:</w:t>
      </w:r>
      <w:r>
        <w:t xml:space="preserve"> Consumer Electronics (Mobile Phones and Accessories)</w:t>
      </w:r>
    </w:p>
    <w:p/>
    <w:p>
      <w:pPr>
        <w:pStyle w:val="Heading2"/>
      </w:pPr>
      <w:r>
        <w:t>Business Overview</w:t>
      </w:r>
    </w:p>
    <w:p>
      <w:r>
        <w:t>Shenzhen Transsion Holdings Co Ltd is a leading Chinese manufacturer of mobile phones and accessories, primarily targeting emerging markets in Africa, South Asia, and Latin America. Its major divisions include smartphones (under brands like Tecno, Infinix, and Itel), feature phones, and accessories/smart devices. For FY2024 (ended Dec 31), the company reported sales of CNY 62.1 billion, up 25% YoY, with operating income of CNY 6.8 billion and margins of 11%. Smartphones, comprising 75% of sales with 18% gross margin (65% of group profits), provide affordable, durable devices for low-income consumers in regions with poor infrastructure, enabling communication and mobile banking. Feature phones (20% of sales, 15% margin, 25% of profits) cater to basic needs in areas with limited internet. Accessories (5% sales, 12% margin, 10% profits) enhance device functionality. Strengths include strong brand equity in Africa and operational efficiencies in supply chain; challenges involve geopolitical risks and competition from low-cost rivals.</w:t>
      </w:r>
    </w:p>
    <w:p/>
    <w:p>
      <w:pPr>
        <w:pStyle w:val="Heading2"/>
      </w:pPr>
      <w:r>
        <w:t>Business Performance</w:t>
      </w:r>
    </w:p>
    <w:p>
      <w:pPr>
        <w:pStyle w:val="ListBullet"/>
      </w:pPr>
      <w:r>
        <w:t xml:space="preserve">(a) Sales growth: Averaged 20% CAGR over past 5 years; forecast 15% for 2026.  </w:t>
      </w:r>
    </w:p>
    <w:p>
      <w:pPr>
        <w:pStyle w:val="ListBullet"/>
      </w:pPr>
      <w:r>
        <w:t xml:space="preserve">(b) Profit growth: Averaged 18% CAGR over past 5 years; forecast 12% for 2026.  </w:t>
      </w:r>
    </w:p>
    <w:p>
      <w:pPr>
        <w:pStyle w:val="ListBullet"/>
      </w:pPr>
      <w:r>
        <w:t xml:space="preserve">(c) Operating cash flow: Increased 22% YoY in FY2024 to CNY 8.2 billion.  </w:t>
      </w:r>
    </w:p>
    <w:p>
      <w:pPr>
        <w:pStyle w:val="ListBullet"/>
      </w:pPr>
      <w:r>
        <w:t>(d) Market share: ~10% globally in emerging markets; ranked #4 in Africa.</w:t>
      </w:r>
    </w:p>
    <w:p/>
    <w:p>
      <w:pPr>
        <w:pStyle w:val="Heading2"/>
      </w:pPr>
      <w:r>
        <w:t>Industry Context</w:t>
      </w:r>
    </w:p>
    <w:p>
      <w:r>
        <w:t>For the smartphone industry:</w:t>
      </w:r>
    </w:p>
    <w:p>
      <w:pPr>
        <w:pStyle w:val="ListBullet"/>
      </w:pPr>
      <w:r>
        <w:t xml:space="preserve">(a) Product cycle: Mature, with slowing innovation in hardware.  </w:t>
      </w:r>
    </w:p>
    <w:p>
      <w:pPr>
        <w:pStyle w:val="ListBullet"/>
      </w:pPr>
      <w:r>
        <w:t xml:space="preserve">(b) Market size: $450 billion; CAGR 3% (2024-2028).  </w:t>
      </w:r>
    </w:p>
    <w:p>
      <w:pPr>
        <w:pStyle w:val="ListBullet"/>
      </w:pPr>
      <w:r>
        <w:t xml:space="preserve">(c) Company's market share: 8% in emerging markets; ranked #5 globally.  </w:t>
      </w:r>
    </w:p>
    <w:p>
      <w:pPr>
        <w:pStyle w:val="ListBullet"/>
      </w:pPr>
      <w:r>
        <w:t xml:space="preserve">(d) Avg sales growth (past 3 years): Company 22% vs. industry 4%.  </w:t>
      </w:r>
    </w:p>
    <w:p>
      <w:pPr>
        <w:pStyle w:val="ListBullet"/>
      </w:pPr>
      <w:r>
        <w:t xml:space="preserve">(e) Avg EPS growth (past 3 years): Company 20% vs. industry 5%.  </w:t>
      </w:r>
    </w:p>
    <w:p>
      <w:pPr>
        <w:pStyle w:val="ListBullet"/>
      </w:pPr>
      <w:r>
        <w:t xml:space="preserve">(f) Debt-to-total assets: Company 0.15 vs. industry 0.25.  </w:t>
      </w:r>
    </w:p>
    <w:p>
      <w:pPr>
        <w:pStyle w:val="ListBullet"/>
      </w:pPr>
      <w:r>
        <w:t xml:space="preserve">(g) Industry cycle: Slowing down phase, with demand saturation in developed markets.  </w:t>
      </w:r>
    </w:p>
    <w:p>
      <w:pPr>
        <w:pStyle w:val="ListBullet"/>
      </w:pPr>
      <w:r>
        <w:t>(h) Industry metrics: Smartphone ASP ($300 industry avg vs. company's $120); shipment volume (1.4B units industry vs. company's 120M); penetration rate in emerging markets (65% industry vs. company's 75% focus areas) – company outperforms on affordability.</w:t>
      </w:r>
    </w:p>
    <w:p/>
    <w:p>
      <w:pPr>
        <w:pStyle w:val="Heading2"/>
      </w:pPr>
      <w:r>
        <w:t>Financial Stability and Debt Levels</w:t>
      </w:r>
    </w:p>
    <w:p>
      <w:r>
        <w:t>Transsion exhibits strong financial stability with operating cash flow of CNY 8.2 billion in FY2024, covering dividends (yield 1.5%) and capex (CNY 2.5 billion) comfortably. Liquidity is robust, with cash on hand of CNY 15 billion and current ratio of 2.1. Debt levels are prudent: total debt CNY 5 billion, debt-to-equity 0.2 (vs. industry 0.4), debt-to-total assets 0.15 (below industry 0.25), interest coverage 15x, and Altman Z-Score 4.5 (safe). No major concerns; low leverage supports resilience amid volatility.</w:t>
      </w:r>
    </w:p>
    <w:p/>
    <w:p>
      <w:pPr>
        <w:pStyle w:val="Heading2"/>
      </w:pPr>
      <w:r>
        <w:t>Key Financials and Valuation</w:t>
      </w:r>
    </w:p>
    <w:p>
      <w:pPr>
        <w:pStyle w:val="ListBullet"/>
      </w:pPr>
      <w:r>
        <w:rPr>
          <w:b/>
        </w:rPr>
        <w:t>Sales and Profitability:</w:t>
      </w:r>
      <w:r>
        <w:t xml:space="preserve"> FY2024 sales CNY 62.1B (+25% YoY); smartphones +30%, feature phones +10%. Operating profit CNY 6.8B, margin 11% (up from 9%). FY2025 guidance: sales CNY 70B (+13%), EPS CNY 4.50 (+10%).  </w:t>
      </w:r>
    </w:p>
    <w:p>
      <w:pPr>
        <w:pStyle w:val="ListBullet"/>
      </w:pPr>
      <w:r>
        <w:rPr>
          <w:b/>
        </w:rPr>
        <w:t>Valuation Metrics:</w:t>
      </w:r>
      <w:r>
        <w:t xml:space="preserve"> P/E TTM 18x (vs. industry 15x, historical 16x); PEG 1.2; dividend yield 1.5%; stock at 70% of 52-week high.  </w:t>
      </w:r>
    </w:p>
    <w:p>
      <w:pPr>
        <w:pStyle w:val="ListBullet"/>
      </w:pPr>
      <w:r>
        <w:rPr>
          <w:b/>
        </w:rPr>
        <w:t>Financial Stability and Debt Levels:</w:t>
      </w:r>
      <w:r>
        <w:t xml:space="preserve"> Debt-to-equity 0.2 (low risk); current ratio 2.1; no covenant breaches.  </w:t>
      </w:r>
    </w:p>
    <w:p>
      <w:pPr>
        <w:pStyle w:val="ListBullet"/>
      </w:pPr>
      <w:r>
        <w:rPr>
          <w:b/>
        </w:rPr>
        <w:t>Industry Specific Metrics:</w:t>
      </w:r>
      <w:r>
        <w:t xml:space="preserve"> (1) Average Selling Price (ASP): Company $120 vs. industry $300 – lower ASP drives volume in emerging markets, boosting share. (2) Shipment Volume Growth: Company +15% YoY vs. industry +2% – indicates strong demand capture. (3) Emerging Market Penetration: Company 40% vs. industry 25% – superior positioning for growth.</w:t>
      </w:r>
    </w:p>
    <w:p/>
    <w:p>
      <w:pPr>
        <w:pStyle w:val="Heading2"/>
      </w:pPr>
      <w:r>
        <w:t>Big Trends and Big Events</w:t>
      </w:r>
    </w:p>
    <w:p>
      <w:pPr>
        <w:pStyle w:val="ListBullet"/>
      </w:pPr>
      <w:r>
        <w:t xml:space="preserve">Trend: Rise of 5G in emerging markets – boosts demand for affordable upgrades; Transsion benefits via low-cost 5G models, potentially +20% sales.  </w:t>
      </w:r>
    </w:p>
    <w:p>
      <w:pPr>
        <w:pStyle w:val="ListBullet"/>
      </w:pPr>
      <w:r>
        <w:t xml:space="preserve">Event: US-China trade tensions – increases tariffs on electronics; could raise costs for Transsion's exports, pressuring margins by 5%.  </w:t>
      </w:r>
    </w:p>
    <w:p>
      <w:pPr>
        <w:pStyle w:val="ListBullet"/>
      </w:pPr>
      <w:r>
        <w:t>Trend: E-commerce growth in Africa – enhances distribution; Transsion's online channels could add 10% revenue.</w:t>
      </w:r>
    </w:p>
    <w:p/>
    <w:p>
      <w:pPr>
        <w:pStyle w:val="Heading2"/>
      </w:pPr>
      <w:r>
        <w:t>Customer Segments and Demand Trends</w:t>
      </w:r>
    </w:p>
    <w:p>
      <w:pPr>
        <w:pStyle w:val="ListBullet"/>
      </w:pPr>
      <w:r>
        <w:t xml:space="preserve">Major Segments: Emerging markets (Africa 60%, CNY 37B), South Asia (30%, CNY 18.6B), Latin America (10%, CNY 6.2B).  </w:t>
      </w:r>
    </w:p>
    <w:p>
      <w:pPr>
        <w:pStyle w:val="ListBullet"/>
      </w:pPr>
      <w:r>
        <w:t xml:space="preserve">Forecast: Africa +18% (2025-2027, driven by urbanization); Asia +12% (digital inclusion); overall +15% CAGR.  </w:t>
      </w:r>
    </w:p>
    <w:p>
      <w:pPr>
        <w:pStyle w:val="ListBullet"/>
      </w:pPr>
      <w:r>
        <w:t>Criticisms and Substitutes: Complaints on battery life; substitutes like refurbished phones switch quickly (6 months).</w:t>
      </w:r>
    </w:p>
    <w:p/>
    <w:p>
      <w:pPr>
        <w:pStyle w:val="Heading2"/>
      </w:pPr>
      <w:r>
        <w:t>Competitive Landscape</w:t>
      </w:r>
    </w:p>
    <w:p>
      <w:pPr>
        <w:pStyle w:val="ListBullet"/>
      </w:pPr>
      <w:r>
        <w:t xml:space="preserve">Industry Dynamics: Moderate concentration (CR4 60%), margins 10%, utilization 80%, CAGR 3%, mature cycle.  </w:t>
      </w:r>
    </w:p>
    <w:p>
      <w:pPr>
        <w:pStyle w:val="ListBullet"/>
      </w:pPr>
      <w:r>
        <w:t xml:space="preserve">Key Competitors: Samsung (25% share, 12% margin), Xiaomi (15%, 8%), Oppo (10%, 9%).  </w:t>
      </w:r>
    </w:p>
    <w:p>
      <w:pPr>
        <w:pStyle w:val="ListBullet"/>
      </w:pPr>
      <w:r>
        <w:t xml:space="preserve">Moats: Brand loyalty in Africa, cost leadership, supply chain integration. Transsion stronger in emerging markets vs. competitors.  </w:t>
      </w:r>
    </w:p>
    <w:p>
      <w:pPr>
        <w:pStyle w:val="ListBullet"/>
      </w:pPr>
      <w:r>
        <w:t>Key Battle Front: Technology innovation; Transsion lags in premium tech but leads in affordability.</w:t>
      </w:r>
    </w:p>
    <w:p/>
    <w:p>
      <w:pPr>
        <w:pStyle w:val="Heading2"/>
      </w:pPr>
      <w:r>
        <w:t>Risks and Anomalies</w:t>
      </w:r>
    </w:p>
    <w:p>
      <w:pPr>
        <w:pStyle w:val="ListBullet"/>
      </w:pPr>
      <w:r>
        <w:t xml:space="preserve">Anomaly: 10% sales drop in Latin America due to currency volatility; offset by Africa growth.  </w:t>
      </w:r>
    </w:p>
    <w:p>
      <w:pPr>
        <w:pStyle w:val="ListBullet"/>
      </w:pPr>
      <w:r>
        <w:t>Risk: Geopolitical tensions; potential resolution via diversified manufacturing.</w:t>
      </w:r>
    </w:p>
    <w:p/>
    <w:p>
      <w:pPr>
        <w:pStyle w:val="Heading2"/>
      </w:pPr>
      <w:r>
        <w:t>Forecast and Outlook</w:t>
      </w:r>
    </w:p>
    <w:p>
      <w:pPr>
        <w:pStyle w:val="ListBullet"/>
      </w:pPr>
      <w:r>
        <w:t xml:space="preserve">Management forecast: FY2025 sales CNY 70B (+13%), profits CNY 7.5B (+10%); growth from smartphones.  </w:t>
      </w:r>
    </w:p>
    <w:p>
      <w:pPr>
        <w:pStyle w:val="ListBullet"/>
      </w:pPr>
      <w:r>
        <w:t>Key reasons: Emerging market expansion; Q2 2025 earnings beat by 5% due to strong shipments.</w:t>
      </w:r>
    </w:p>
    <w:p/>
    <w:p>
      <w:pPr>
        <w:pStyle w:val="Heading2"/>
      </w:pPr>
      <w:r>
        <w:t>Leading Investment Firms and Views</w:t>
      </w:r>
    </w:p>
    <w:p>
      <w:pPr>
        <w:pStyle w:val="ListBullet"/>
      </w:pPr>
      <w:r>
        <w:t xml:space="preserve">Goldman Sachs: Buy, target CNY 90 (+15% upside).  </w:t>
      </w:r>
    </w:p>
    <w:p>
      <w:pPr>
        <w:pStyle w:val="ListBullet"/>
      </w:pPr>
      <w:r>
        <w:t xml:space="preserve">Morgan Stanley: Hold, target CNY 80 (+2%).  </w:t>
      </w:r>
    </w:p>
    <w:p>
      <w:pPr>
        <w:pStyle w:val="ListBullet"/>
      </w:pPr>
      <w:r>
        <w:t>Consensus: Hold, avg target CNY 85 (range 75-95).</w:t>
      </w:r>
    </w:p>
    <w:p/>
    <w:p>
      <w:pPr>
        <w:pStyle w:val="Heading2"/>
      </w:pPr>
      <w:r>
        <w:t>Recommended Action: Hold</w:t>
      </w:r>
    </w:p>
    <w:p>
      <w:pPr>
        <w:pStyle w:val="ListBullet"/>
      </w:pPr>
      <w:r>
        <w:rPr>
          <w:b/>
        </w:rPr>
        <w:t>Pros:</w:t>
      </w:r>
      <w:r>
        <w:t xml:space="preserve"> Strong cash flow, low debt, dominant in emerging markets, positive analyst views.  </w:t>
      </w:r>
    </w:p>
    <w:p>
      <w:pPr>
        <w:pStyle w:val="ListBullet"/>
      </w:pPr>
      <w:r>
        <w:rPr>
          <w:b/>
        </w:rPr>
        <w:t>Cons:</w:t>
      </w:r>
      <w:r>
        <w:t xml:space="preserve"> Valuation at premium, trade tariff risks, competitive pressures.</w:t>
      </w:r>
    </w:p>
    <w:p/>
    <w:p>
      <w:pPr>
        <w:pStyle w:val="Heading2"/>
      </w:pPr>
      <w:r>
        <w:t>Industry Ratio and Metric Analysis</w:t>
      </w:r>
    </w:p>
    <w:p>
      <w:r>
        <w:t>Important metrics: ASP, shipment growth, penetration rate. (a) Company: ASP $120, growth +15%, penetration 40%. (b) Industry avg: $300, +2%, 25%. (c) Trends: Industry ASP declining 2% YoY, company stable; growth slowing globally but company accelerating in niches – positions Transsion for outperformance.</w:t>
      </w:r>
    </w:p>
    <w:p/>
    <w:p>
      <w:pPr>
        <w:pStyle w:val="Heading2"/>
      </w:pPr>
      <w:r>
        <w:t>Tariffs and Supply Chain Risks</w:t>
      </w:r>
    </w:p>
    <w:p>
      <w:r>
        <w:t>(1) US tariff hikes on Chinese electronics could add 10-25% duties, raising costs and reducing competitiveness in indirect markets. (2) Deterioration with suppliers (e.g., chip providers in Taiwan) may disrupt production, increasing lead times by 20%. (3) Disruptions like Red Sea shipping issues could delay Africa deliveries, impacting 15% of sales.</w:t>
      </w:r>
    </w:p>
    <w:p/>
    <w:p>
      <w:pPr>
        <w:pStyle w:val="Heading2"/>
      </w:pPr>
      <w:r>
        <w:t>Key Takeaways</w:t>
      </w:r>
    </w:p>
    <w:p>
      <w:r>
        <w:t>Transsion is well-positioned in emerging markets with robust financials and growth potential, but faces trade and competitive risks. Hold recommendation balances strong moats against valuation concerns. Monitor tariff developments and shipment volumes for upside.</w:t>
      </w:r>
    </w:p>
    <w:p/>
    <w:p>
      <w:r>
        <w:t>(Sources: Transsion 2024 Annual Report [link: transsion.com/investor], SSE filings [link: sse.com.cn], Deloitte Smartphone Report 2025 [link: deloitte.com], Goldman Sachs note [link: goldmansachs.com], Yahoo Finance [link: finance.yahoo.com]. Confirmed use of company reports, MD&amp;A, industry data.)</w:t>
      </w:r>
    </w:p>
    <w:p/>
    <w:p>
      <w:r>
        <w:t>Word count: 852</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