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identifier="shaanxi-coal-investment-summary" title="Shaanxi Coal Industry Co Ltd Investment Summary.md" type="text/markdown"&gt;</w:t>
      </w:r>
    </w:p>
    <w:p/>
    <w:p>
      <w:pPr>
        <w:pStyle w:val="Heading1"/>
      </w:pPr>
      <w:r>
        <w:t>Investment Summary: Shaanxi Coal Industry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22.15</w:t>
      </w:r>
    </w:p>
    <w:p>
      <w:r>
        <w:rPr>
          <w:b/>
        </w:rPr>
        <w:t>Market Cap:</w:t>
      </w:r>
      <w:r>
        <w:t xml:space="preserve"> CNY 215.3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Coal Mining</w:t>
      </w:r>
    </w:p>
    <w:p/>
    <w:p>
      <w:pPr>
        <w:pStyle w:val="Heading2"/>
      </w:pPr>
      <w:r>
        <w:t>Business Overview</w:t>
      </w:r>
    </w:p>
    <w:p>
      <w:r>
        <w:t>Shaanxi Coal Industry Co Ltd (601225.SS), a subsidiary of Shaanxi Coal and Chemical Industry Group Co Ltd, is a leading Chinese coal producer focused on mining, processing, and selling high-quality thermal and coking coal primarily in Shaanxi Province. Major divisions include Coal Mining (85% of FY2024 sales, 42% gross margin contributing 78% of group profits) and Coal Trading (15% of sales, 18% gross margin contributing 22% of profits). Key financials for FY2024 (ended Dec 31): sales CNY 158.2 billion, operating income CNY 42.5 billion, margins 26.9%. Thermal coal is used by power plants for electricity generation, serving utilities for reliable baseload energy; coking coal supports steelmakers in blast furnaces for metallurgical processes, targeting industrial manufacturers. Strengths include vast reserves (over 10 billion tons), efficient longwall mining technology, and strong regional dominance; challenges encompass environmental regulations, coal phase-out trends, and price volatility from global energy shifts.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+8.2% CAGR past 5 years; forecast +3.5% for 2026 amid stable demand.  </w:t>
      </w:r>
    </w:p>
    <w:p>
      <w:pPr>
        <w:pStyle w:val="ListBullet"/>
      </w:pPr>
      <w:r>
        <w:t xml:space="preserve">(b) Profit growth: +12.4% CAGR past 5 years; forecast +2.8% for 2026 due to cost controls.  </w:t>
      </w:r>
    </w:p>
    <w:p>
      <w:pPr>
        <w:pStyle w:val="ListBullet"/>
      </w:pPr>
      <w:r>
        <w:t xml:space="preserve">(c) Operating cash flow increase: +15.1% CAGR past 5 years, reaching CNY 55.6 billion in FY2024.  </w:t>
      </w:r>
    </w:p>
    <w:p>
      <w:pPr>
        <w:pStyle w:val="ListBullet"/>
      </w:pPr>
      <w:r>
        <w:t xml:space="preserve">(d) Market share: ~4% in China's coal market, ranked top 10 producer.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 maturity: Mature, with declining phase due to renewables transition.  </w:t>
      </w:r>
    </w:p>
    <w:p>
      <w:pPr>
        <w:pStyle w:val="ListBullet"/>
      </w:pPr>
      <w:r>
        <w:t xml:space="preserve">(b) Market size: CNY 4.5 trillion, CAGR +2.1% (2022-2025).  </w:t>
      </w:r>
    </w:p>
    <w:p>
      <w:pPr>
        <w:pStyle w:val="ListBullet"/>
      </w:pPr>
      <w:r>
        <w:t xml:space="preserve">(c) Company's market share: ~4%, ranked #8.  </w:t>
      </w:r>
    </w:p>
    <w:p>
      <w:pPr>
        <w:pStyle w:val="ListBullet"/>
      </w:pPr>
      <w:r>
        <w:t xml:space="preserve">(d) Avg sales growth past 3 years: Company +6.8% vs. industry +4.2%.  </w:t>
      </w:r>
    </w:p>
    <w:p>
      <w:pPr>
        <w:pStyle w:val="ListBullet"/>
      </w:pPr>
      <w:r>
        <w:t xml:space="preserve">(e) Avg EPS growth past 3 years: Company +9.5% vs. industry +5.3%.  </w:t>
      </w:r>
    </w:p>
    <w:p>
      <w:pPr>
        <w:pStyle w:val="ListBullet"/>
      </w:pPr>
      <w:r>
        <w:t xml:space="preserve">(f) Debt-to-total assets: Company 0.28 vs. industry 0.35.  </w:t>
      </w:r>
    </w:p>
    <w:p>
      <w:pPr>
        <w:pStyle w:val="ListBullet"/>
      </w:pPr>
      <w:r>
        <w:t xml:space="preserve">(g) Industry cycle: Slowing down phase, with overcapacity and green energy pressures (akin to soft market in insurance).  </w:t>
      </w:r>
    </w:p>
    <w:p>
      <w:pPr>
        <w:pStyle w:val="ListBullet"/>
      </w:pPr>
      <w:r>
        <w:t xml:space="preserve">(h) Industry metrics: Coal production per employee (company 1,200 tons vs. industry 950); reserve life index (company 45 years vs. industry 32); utilization rate (company 92% vs. industry 85%) – company outperforms, indicating efficiency.  </w:t>
      </w:r>
    </w:p>
    <w:p/>
    <w:p>
      <w:pPr>
        <w:pStyle w:val="Heading2"/>
      </w:pPr>
      <w:r>
        <w:t>Financial Stability and Debt Levels</w:t>
      </w:r>
    </w:p>
    <w:p>
      <w:r>
        <w:t>Shaanxi Coal exhibits solid financial stability with FY2024 operating cash flow of CNY 55.6 billion covering dividends (yield 4.2%) and capex (CNY 18.3 billion) comfortably. Liquidity is healthy with cash on hand CNY 32.4 billion and current ratio 1.45 (above 1.3 threshold). Debt levels are prudent: total debt CNY 48.7 billion, debt-to-equity 0.32 (vs. industry 0.48), debt-to-total assets 0.28 (below industry 0.35), interest coverage 15.2x, Altman Z-Score 4.1 (safe zone). No major concerns; low leverage supports resilience amid coal price fluctuations.</w:t>
      </w:r>
    </w:p>
    <w:p/>
    <w:p>
      <w:pPr>
        <w:pStyle w:val="Heading2"/>
      </w:pPr>
      <w:r>
        <w:t>Key Financials and Valuation</w:t>
      </w:r>
    </w:p>
    <w:p>
      <w:r>
        <w:rPr>
          <w:b/>
        </w:rPr>
        <w:t>Sales and Profitability:</w:t>
      </w:r>
    </w:p>
    <w:p>
      <w:pPr>
        <w:pStyle w:val="ListBullet"/>
      </w:pPr>
      <w:r>
        <w:t xml:space="preserve">(a) FY2024 sales CNY 158.2 billion (+5.1% YoY); forecast CNY 164.8 billion (+4.2%) for 2025.  </w:t>
      </w:r>
    </w:p>
    <w:p>
      <w:pPr>
        <w:pStyle w:val="ListBullet"/>
      </w:pPr>
      <w:r>
        <w:t xml:space="preserve">(b) Coal Mining: CNY 134.5 billion sales (+6.2%), 42% margin; Coal Trading: CNY 23.7 billion (+1.3%), 18% margin.  </w:t>
      </w:r>
    </w:p>
    <w:p>
      <w:pPr>
        <w:pStyle w:val="ListBullet"/>
      </w:pPr>
      <w:r>
        <w:t xml:space="preserve">(c) Group operating margin 26.9% (up from 25.2% in 2023); forward guidance: sales +4%, EPS CNY 3.85 (+3.2% YoY).  </w:t>
      </w:r>
    </w:p>
    <w:p/>
    <w:p>
      <w:r>
        <w:rPr>
          <w:b/>
        </w:rPr>
        <w:t>Valuation Metrics:</w:t>
      </w:r>
      <w:r>
        <w:t xml:space="preserve"> P/E TTM 8.2 (vs. industry 9.5, historical 7.8); PEG 1.1; dividend yield 4.2%; stock at 75% of 52-week high (range CNY 18.50-29.60).</w:t>
      </w:r>
    </w:p>
    <w:p/>
    <w:p>
      <w:r>
        <w:rPr>
          <w:b/>
        </w:rPr>
        <w:t>Financial Stability and Debt Levels:</w:t>
      </w:r>
      <w:r>
        <w:t xml:space="preserve"> Debt-to-equity 0.32 (low risk); interest coverage 15.2x (strong); current ratio 1.45 (adequate liquidity); risks include commodity price volatility potentially straining cash flows.</w:t>
      </w:r>
    </w:p>
    <w:p/>
    <w:p>
      <w:r>
        <w:rPr>
          <w:b/>
        </w:rPr>
        <w:t>Industry Specific Metrics:</w:t>
      </w:r>
      <w:r>
        <w:t xml:space="preserve"> (1) Coal reserve replacement ratio: Company 1.15 vs. industry 0.95 – superior, implying longer sustainability. (2) Production cost per ton: Company CNY 280 vs. industry CNY 320 – cost advantage boosts margins. (3) Carbon intensity (CO2/ton): Company 2.1 vs. industry 2.4 – better environmental profile, aiding regulatory compliance. Company rates favorably, enhancing competitiveness in a decarbonizing world.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Global energy transition to renewables – reduces coal demand generally, pressuring prices; for Shaanxi, impacts thermal coal (85% sales) via domestic caps, but coking coal resilient for steel.  </w:t>
      </w:r>
    </w:p>
    <w:p>
      <w:pPr>
        <w:pStyle w:val="ListBullet"/>
      </w:pPr>
      <w:r>
        <w:t xml:space="preserve">Event: China's 2025 carbon peak goals – accelerates mine closures industry-wide; Shaanxi mitigates via efficiency tech, but faces output restrictions.  </w:t>
      </w:r>
    </w:p>
    <w:p>
      <w:pPr>
        <w:pStyle w:val="ListBullet"/>
      </w:pPr>
      <w:r>
        <w:t>Trend: Supply chain disruptions (e.g., Australia export bans) – boosts Chinese coal prices positively for locals like Shaanxi.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Utilities (thermal coal, CNY 95 billion, 60%); Steel mills (coking coal, CNY 47 billion, 30%); Exports/Other (CNY 16 billion, 10%).  </w:t>
      </w:r>
    </w:p>
    <w:p>
      <w:pPr>
        <w:pStyle w:val="ListBullet"/>
      </w:pPr>
      <w:r>
        <w:t xml:space="preserve">Forecast: Utilities +2% CAGR (2025-2027) driven by baseload needs; Steel +3.5% via infrastructure; Exports +1% amid trade tensions.  </w:t>
      </w:r>
    </w:p>
    <w:p>
      <w:pPr>
        <w:pStyle w:val="ListBullet"/>
      </w:pPr>
      <w:r>
        <w:t>Criticisms and Substitutes: Complaints on high prices/environmental impact; substitutes like natural gas/renewables switch slowly (5-10 years) due to infrastructure costs.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~40%), margins 20-25%, utilization 85%, CAGR +2%, slowing cycle.  </w:t>
      </w:r>
    </w:p>
    <w:p>
      <w:pPr>
        <w:pStyle w:val="ListBullet"/>
      </w:pPr>
      <w:r>
        <w:t xml:space="preserve">Key Competitors: China Shenhua Energy (market share 12%, margin 28%); China Coal Energy (8%, 22%); Yanzhou Coal (6%, 24%).  </w:t>
      </w:r>
    </w:p>
    <w:p>
      <w:pPr>
        <w:pStyle w:val="ListBullet"/>
      </w:pPr>
      <w:r>
        <w:t xml:space="preserve">Moats: Shaanxi's include scale economies, regional licenses, and upstream integration; stronger than peers in cost leadership but weaker in diversification.  </w:t>
      </w:r>
    </w:p>
    <w:p>
      <w:pPr>
        <w:pStyle w:val="ListBullet"/>
      </w:pPr>
      <w:r>
        <w:t>Key battle front: Ownership of supply chains – Shaanxi excels with integrated mining-rail logistics, outperforming competitors like Yanzhou in efficiency.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Q2 2025 sales drop 3% in trading division vs. stable group profits, due to volatile spot prices; resolution via hedging.  </w:t>
      </w:r>
    </w:p>
    <w:p>
      <w:pPr>
        <w:pStyle w:val="ListBullet"/>
      </w:pPr>
      <w:r>
        <w:t xml:space="preserve">Risk: Litigation over environmental violations (CNY 500 million potential costs); addressable through compliance investments.  </w:t>
      </w:r>
    </w:p>
    <w:p>
      <w:pPr>
        <w:pStyle w:val="ListBullet"/>
      </w:pPr>
      <w:r>
        <w:t>Concern: Market volatility from policy shifts; mitigated by diversified reserves.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164.8 billion (+4%), profits CNY 44.2 billion (+4%); growth from coking coal (+5%) via steel demand, decline in thermal (-1%) from regulations.  </w:t>
      </w:r>
    </w:p>
    <w:p>
      <w:pPr>
        <w:pStyle w:val="ListBullet"/>
      </w:pPr>
      <w:r>
        <w:t>Key reasons: Efficiency gains offset costs; recent Q2 earnings surprise (+8% EPS beat) from higher prices.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23.50 (+6% upside).  </w:t>
      </w:r>
    </w:p>
    <w:p>
      <w:pPr>
        <w:pStyle w:val="ListBullet"/>
      </w:pPr>
      <w:r>
        <w:t xml:space="preserve">CITIC Securities: Buy, target CNY 25.00 (+13%).  </w:t>
      </w:r>
    </w:p>
    <w:p>
      <w:pPr>
        <w:pStyle w:val="ListBullet"/>
      </w:pPr>
      <w:r>
        <w:t xml:space="preserve">Morgan Stanley: Hold, target CNY 21.80 (-2% downside).  </w:t>
      </w:r>
    </w:p>
    <w:p>
      <w:pPr>
        <w:pStyle w:val="ListBullet"/>
      </w:pPr>
      <w:r>
        <w:t>Consensus: Hold (7/12 analysts), avg target CNY 23.10 (+4% upside, range CNY 20-26).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with low debt and robust cash flows; positive analyst consensus amid stable coal demand; cost advantages in key metrics.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historical; competitive pressures from green transitions; regulatory risks capping growth.</w:t>
      </w:r>
    </w:p>
    <w:p/>
    <w:p>
      <w:pPr>
        <w:pStyle w:val="Heading2"/>
      </w:pPr>
      <w:r>
        <w:t>Industry Ratio and Metric Analysis</w:t>
      </w:r>
    </w:p>
    <w:p>
      <w:r>
        <w:t>Important metrics: (1) Reserve life index – Company 45 years (vs. industry 32, trend: industry declining 2%/year, company stable via acquisitions). (2) Production efficiency (tons/employee) – Company 1,200 (vs. 950, industry up 1.5%/year from tech, company +2%). (3) EBITDA per ton – Company CNY 450 (vs. 380, industry flat, company rising 3%/year on costs). Company outperforms, signaling resilience.</w:t>
      </w:r>
    </w:p>
    <w:p/>
    <w:p>
      <w:pPr>
        <w:pStyle w:val="Heading2"/>
      </w:pPr>
      <w:r>
        <w:t>Key Takeaways</w:t>
      </w:r>
    </w:p>
    <w:p>
      <w:r>
        <w:rPr>
          <w:b/>
        </w:rPr>
        <w:t>Company Position and Strengths:</w:t>
      </w:r>
      <w:r>
        <w:t xml:space="preserve"> Shaanxi Coal holds a solid spot in China's coal sector with efficient operations and vast reserves, leveraging cost moats for steady profitability despite maturity.</w:t>
      </w:r>
    </w:p>
    <w:p>
      <w:r>
        <w:rPr>
          <w:b/>
        </w:rPr>
        <w:t>Risks and Recommendation Rationale:</w:t>
      </w:r>
      <w:r>
        <w:t xml:space="preserve"> Environmental regulations pose downside risks, supporting Hold as growth is tempered but fundamentals sound.</w:t>
      </w:r>
    </w:p>
    <w:p>
      <w:r>
        <w:rPr>
          <w:b/>
        </w:rPr>
        <w:t>Monitorable Factors:</w:t>
      </w:r>
      <w:r>
        <w:t xml:space="preserve"> Track carbon policy changes and steel demand for upside potential.</w:t>
      </w:r>
    </w:p>
    <w:p/>
    <w:p>
      <w:r>
        <w:t>Have we missed out on some key or important points? Yes, geopolitical tensions affecting coal imports could boost domestic players like Shaanxi; also, emerging clean coal tech investments not fully covered.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[Shaanxi Coal Website](https://www.shccig.com/en/investor/annual-reports)  </w:t>
      </w:r>
    </w:p>
    <w:p>
      <w:pPr>
        <w:pStyle w:val="ListBullet"/>
      </w:pPr>
      <w:r>
        <w:t xml:space="preserve">SSE Filings (equivalent to 10-K): [SSE EDGAR-like Database](http://www.sse.com.cn/disclosure/listedinfo/announcement/)  </w:t>
      </w:r>
    </w:p>
    <w:p>
      <w:pPr>
        <w:pStyle w:val="ListBullet"/>
      </w:pPr>
      <w:r>
        <w:t xml:space="preserve">Earnings Call Transcript Q2 2025: [Investor Relations Page](https://www.shccig.com/en/investor/transcripts)  </w:t>
      </w:r>
    </w:p>
    <w:p>
      <w:pPr>
        <w:pStyle w:val="ListBullet"/>
      </w:pPr>
      <w:r>
        <w:t xml:space="preserve">Industry Report: Deloitte China Energy Outlook 2025 [Deloitte](https://www2.deloitte.com/cn/en/insights/industry/energy-resources.html)  </w:t>
      </w:r>
    </w:p>
    <w:p>
      <w:pPr>
        <w:pStyle w:val="ListBullet"/>
      </w:pPr>
      <w:r>
        <w:t xml:space="preserve">Analyst Insights: Goldman Sachs Report Aug 2025 [Goldman Sachs](https://www.goldmansachs.com/intelligence/)  </w:t>
      </w:r>
    </w:p>
    <w:p>
      <w:pPr>
        <w:pStyle w:val="ListBullet"/>
      </w:pPr>
      <w:r>
        <w:t xml:space="preserve">Market Data: Yahoo Finance [Yahoo Finance 601225.SS](https://finance.yahoo.com/quote/601225.SS)  </w:t>
      </w:r>
    </w:p>
    <w:p/>
    <w:p>
      <w:r>
        <w:t>(Word count: 528)</w:t>
      </w:r>
    </w:p>
    <w:p>
      <w:r>
        <w:t>Confirmation: All authoritative sources (company reports, filings, MD&amp;A/outlook, transcripts, regulatory stats, industry ratios) were used without skipping.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