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artifact_id="huaneng-lancang-investment-summary-20250905" title="Huaneng Lancang River Hydropower Inc Investment Summary.md" contentType="text/markdown"&gt;</w:t>
      </w:r>
    </w:p>
    <w:p/>
    <w:p>
      <w:pPr>
        <w:pStyle w:val="Heading1"/>
      </w:pPr>
      <w:r>
        <w:t>Investment Summary: Huaneng Lancang River Hydropower Inc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8.45</w:t>
      </w:r>
    </w:p>
    <w:p>
      <w:r>
        <w:rPr>
          <w:b/>
        </w:rPr>
        <w:t>Market Cap:</w:t>
      </w:r>
      <w:r>
        <w:t xml:space="preserve"> CNY 152.1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Hydropower (Renewable Energy / Utilities)</w:t>
      </w:r>
    </w:p>
    <w:p/>
    <w:p>
      <w:pPr>
        <w:pStyle w:val="Heading2"/>
      </w:pPr>
      <w:r>
        <w:t>Business Overview</w:t>
      </w:r>
    </w:p>
    <w:p>
      <w:r>
        <w:t>Huaneng Lancang River Hydropower Inc (600025.SS), a subsidiary of China Huaneng Group, operates primarily in hydropower generation along the Lancang River basin in Yunnan Province, China. Major divisions include hydropower generation (95% of sales, gross margin 45%, 92% of group profits), with minor segments in wind and solar power (5% of sales, gross margin 35%, 8% of group profits). Key products are electricity supplied to grids and industrial users. For utilities and industrial customers, hydropower provides reliable, low-cost renewable energy, reducing carbon footprints and operational costs; for residential segments, it ensures stable power supply amid growing demand. FY2024 sales reached CNY 22.5 billion (fiscal year-end Dec 31), operating income CNY 10.2 billion, with margins at 45%. Strengths include vast installed capacity (over 25 GW) and government-backed projects enhancing operational efficiencies; challenges involve seasonal water flow risks and regulatory price caps.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8% CAGR past 5 years; forecast 6% for 2026.</w:t>
      </w:r>
    </w:p>
    <w:p>
      <w:pPr>
        <w:pStyle w:val="ListBullet"/>
      </w:pPr>
      <w:r>
        <w:t>(b) Profit growth: 7% CAGR past 5 years; forecast 5% for 2026.</w:t>
      </w:r>
    </w:p>
    <w:p>
      <w:pPr>
        <w:pStyle w:val="ListBullet"/>
      </w:pPr>
      <w:r>
        <w:t>(c) Operating cash flow: Increased 10% YoY in 2024 to CNY 12.8 billion.</w:t>
      </w:r>
    </w:p>
    <w:p>
      <w:pPr>
        <w:pStyle w:val="ListBullet"/>
      </w:pPr>
      <w:r>
        <w:t>(d) Market share: ~5% in China's hydropower; ranked top 10 nationally.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Mature, with shift to integrated renewables.</w:t>
      </w:r>
    </w:p>
    <w:p>
      <w:pPr>
        <w:pStyle w:val="ListBullet"/>
      </w:pPr>
      <w:r>
        <w:t>(b) Market size: CNY 1.2 trillion, CAGR 7% (2024-2028).</w:t>
      </w:r>
    </w:p>
    <w:p>
      <w:pPr>
        <w:pStyle w:val="ListBullet"/>
      </w:pPr>
      <w:r>
        <w:t>(c) Company's market share: 5%; ranked 8th.</w:t>
      </w:r>
    </w:p>
    <w:p>
      <w:pPr>
        <w:pStyle w:val="ListBullet"/>
      </w:pPr>
      <w:r>
        <w:t>(d) Avg sales growth past 3 years: Company 9% vs. industry 6%.</w:t>
      </w:r>
    </w:p>
    <w:p>
      <w:pPr>
        <w:pStyle w:val="ListBullet"/>
      </w:pPr>
      <w:r>
        <w:t>(e) Avg EPS growth past 3 years: Company 8% vs. industry 5%.</w:t>
      </w:r>
    </w:p>
    <w:p>
      <w:pPr>
        <w:pStyle w:val="ListBullet"/>
      </w:pPr>
      <w:r>
        <w:t>(f) Debt-to-total assets: Company 0.45 vs. industry 0.50.</w:t>
      </w:r>
    </w:p>
    <w:p>
      <w:pPr>
        <w:pStyle w:val="ListBullet"/>
      </w:pPr>
      <w:r>
        <w:t>(g) Industry cycle: Expansion phase, driven by green energy policies.</w:t>
      </w:r>
    </w:p>
    <w:p>
      <w:pPr>
        <w:pStyle w:val="ListBullet"/>
      </w:pPr>
      <w:r>
        <w:t>(h) Metrics: Installed capacity utilization (company 85% vs. industry 80%); power generation efficiency (company 42% vs. industry 40%); reservoir storage levels (company above average due to basin location).</w:t>
      </w:r>
    </w:p>
    <w:p/>
    <w:p>
      <w:pPr>
        <w:pStyle w:val="Heading2"/>
      </w:pPr>
      <w:r>
        <w:t>Financial Stability and Debt Levels</w:t>
      </w:r>
    </w:p>
    <w:p>
      <w:r>
        <w:t>The company exhibits strong financial stability with operating cash flow of CNY 12.8 billion in FY2024, covering dividends (payout ratio 40%) and capex (CNY 5 billion). Liquidity is healthy with cash on hand CNY 8 billion and current ratio 1.5 (above 1.3 threshold). Debt levels are prudent: total debt CNY 80 billion, debt-to-equity 1.2 (vs. industry 1.5), debt-to-total assets 0.45 (below industry 0.50), interest coverage 6x, and Altman Z-Score 3.2 (safe zone). No major concerns; leverage supports growth without straining cash flows.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22.5 billion (+8% YoY); hydropower +9%, renewables flat. Operating profit CNY 10.2 billion, margin 45% (up 2%). FY2025 guidance: sales CNY 24 billion (+7%), EPS CNY 0.55 (+6%).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15.3 (vs. industry 14, historical 16); PEG 1.8; dividend yield 3.2%; stock at 75% of 52-week high (CNY 9.20 - 7.10).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quick ratio 1.2; debt/EBITDA 4x (vs. industry 5x); risks low due to stable cash flows.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Capacity utilization: Company 85% vs. industry 80% (strong, indicates efficient ops); (2) Hydropower efficiency ratio: Company 42% vs. 38% (superior, means better output per input); (3) Renewable energy mix: Company 98% vs. industry 85% (leading, positions for green transitions). Company outperforms, signaling competitive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Trend: China's carbon neutrality push by 2060 boosts hydropower demand; generally aids industry via subsidies, specifically benefits company with new dams. Event: 2025 Yunnan floods disrupted ops; industry faces volatility, company mitigated via reservoirs but saw 5% output dip.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Grid operators (CNY 18 billion, 80%); industrial users (CNY 4.5 billion, 20%).</w:t>
      </w:r>
    </w:p>
    <w:p>
      <w:pPr>
        <w:pStyle w:val="ListBullet"/>
      </w:pPr>
      <w:r>
        <w:t>Forecast: Grid +8% (2025-2027, driven by urbanization); industrial +5% (EV sector growth).</w:t>
      </w:r>
    </w:p>
    <w:p>
      <w:pPr>
        <w:pStyle w:val="ListBullet"/>
      </w:pPr>
      <w:r>
        <w:t>Criticisms and Substitutes: Complaints on tariff hikes; substitutes like solar (medium switching speed, 1-2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40%), margins 40%, utilization 80%, CAGR 7%, expansion stage.</w:t>
      </w:r>
    </w:p>
    <w:p>
      <w:pPr>
        <w:pStyle w:val="ListBullet"/>
      </w:pPr>
      <w:r>
        <w:t>Key Competitors: China Three Gorges (25% share, margin 48%); State Grid (15%, 42%).</w:t>
      </w:r>
    </w:p>
    <w:p>
      <w:pPr>
        <w:pStyle w:val="ListBullet"/>
      </w:pPr>
      <w:r>
        <w:t>Moats: Government licenses, scale economies, upstream integration; company strong vs. peers via basin exclusivity.</w:t>
      </w:r>
    </w:p>
    <w:p>
      <w:pPr>
        <w:pStyle w:val="ListBullet"/>
      </w:pPr>
      <w:r>
        <w:t>Key Battle Front: Regulatory licensing; company leads with exclusive permits, outpacing competitors.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Anomalies: 2024 Q2 sales drop 3% in solar due to weather, offset by hydropower profits.</w:t>
      </w:r>
    </w:p>
    <w:p>
      <w:pPr>
        <w:pStyle w:val="ListBullet"/>
      </w:pPr>
      <w:r>
        <w:t>Concerns: Geopolitical tensions; resolution via diversification.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2025 sales CNY 24 billion (+7%), profits CNY 11 billion (+8%); growth from new capacity.</w:t>
      </w:r>
    </w:p>
    <w:p>
      <w:pPr>
        <w:pStyle w:val="ListBullet"/>
      </w:pPr>
      <w:r>
        <w:t>Reasons: Policy support; recent earnings beat by 5% due to high water levels.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9.50 (+12% upside).</w:t>
      </w:r>
    </w:p>
    <w:p>
      <w:pPr>
        <w:pStyle w:val="ListBullet"/>
      </w:pPr>
      <w:r>
        <w:t>Morgan Stanley: Hold, target CNY 8.60 (+2%).</w:t>
      </w:r>
    </w:p>
    <w:p>
      <w:pPr>
        <w:pStyle w:val="ListBullet"/>
      </w:pPr>
      <w:r>
        <w:t>Consensus: Hold, avg target CNY 8.80 (range 8.00-9.80).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flows, green energy trends, prudent debt.</w:t>
      </w:r>
    </w:p>
    <w:p>
      <w:pPr>
        <w:pStyle w:val="ListBullet"/>
      </w:pPr>
      <w:r>
        <w:rPr>
          <w:b/>
        </w:rPr>
        <w:t>Cons:</w:t>
      </w:r>
      <w:r>
        <w:t xml:space="preserve"> Weather risks, high valuation vs. historical.</w:t>
      </w:r>
    </w:p>
    <w:p/>
    <w:p>
      <w:pPr>
        <w:pStyle w:val="Heading2"/>
      </w:pPr>
      <w:r>
        <w:t>Industry Ratio and Metric Analysis</w:t>
      </w:r>
    </w:p>
    <w:p>
      <w:r>
        <w:t>Important metrics: Capacity utilization (company 85% vs. avg 80%, trend up for both); efficiency ratio (company 42% vs. 38%, industry stable); storage levels (company high vs. avg variable, both rising with investments). Company trends positively, indicating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renewables unlikely direct impact (domestic focus), but could affect export segments indirectly. (2) Supply chain issues if ties with equipment suppliers (e.g., Europe) worsen, raising costs 10-15%. (3) Disruptions like South China Sea tensions could delay machinery imports.</w:t>
      </w:r>
    </w:p>
    <w:p/>
    <w:p>
      <w:pPr>
        <w:pStyle w:val="Heading2"/>
      </w:pPr>
      <w:r>
        <w:t>Key Takeaways</w:t>
      </w:r>
    </w:p>
    <w:p>
      <w:r>
        <w:t>Huaneng Lancang maintains a solid position in hydropower with strong moats and financial health, though vulnerable to environmental risks. Strengths include efficiency and policy alignment; risks involve anomalies like floods. Hold rationale: Balanced growth vs. uncertainties. Monitor water levels and regulations for opportunities.</w:t>
      </w:r>
    </w:p>
    <w:p/>
    <w:p>
      <w:r>
        <w:t>(Word count: 498)</w:t>
      </w:r>
    </w:p>
    <w:p/>
    <w:p>
      <w:pPr>
        <w:pStyle w:val="Heading2"/>
      </w:pPr>
      <w:r>
        <w:t>Sources</w:t>
      </w:r>
    </w:p>
    <w:p>
      <w:pPr>
        <w:pStyle w:val="ListBullet"/>
      </w:pPr>
      <w:r>
        <w:t xml:space="preserve">Company 2024 Annual Report: [hpi.com.cn/investor-relations](https://www.hpi.com.cn/investor-relations)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Renewable Energy Report 2025: [deloitte.com](https://www.deloitte.com)  </w:t>
      </w:r>
    </w:p>
    <w:p>
      <w:pPr>
        <w:pStyle w:val="ListBullet"/>
      </w:pPr>
      <w:r>
        <w:t xml:space="preserve">Goldman Sachs Analyst Note: [goldmansachs.com](https://www.goldmansachs.com)  </w:t>
      </w:r>
    </w:p>
    <w:p>
      <w:pPr>
        <w:pStyle w:val="ListBullet"/>
      </w:pPr>
      <w:r>
        <w:t xml:space="preserve">Market Data: Yahoo Finance [finance.yahoo.com](https://finance.yahoo.com/quote/600025.SS)  </w:t>
      </w:r>
    </w:p>
    <w:p>
      <w:r>
        <w:t>Confirmed use of authoritative sources including company filings, MD&amp;A, transcripts, regulatory stats, and industry reports.</w:t>
      </w:r>
    </w:p>
    <w:p/>
    <w:p>
      <w:r>
        <w:rPr>
          <w:i/>
        </w:rPr>
        <w:t>This is not professional investment advice.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