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identifier="china-longyuan-investment-summary" title="China Longyuan Power Group Corp Ltd Investment Summary.md" type="text/markdown"&gt;</w:t>
      </w:r>
    </w:p>
    <w:p/>
    <w:p>
      <w:pPr>
        <w:pStyle w:val="Heading1"/>
      </w:pPr>
      <w:r>
        <w:t>Investment Summary: China Longyuan Power Group Corp Ltd</w:t>
      </w:r>
    </w:p>
    <w:p/>
    <w:p>
      <w:r>
        <w:rPr>
          <w:b/>
        </w:rPr>
        <w:t>Date:</w:t>
      </w:r>
      <w:r>
        <w:t xml:space="preserve"> 2025-09-05</w:t>
      </w:r>
    </w:p>
    <w:p>
      <w:r>
        <w:rPr>
          <w:b/>
        </w:rPr>
        <w:t>Stock Price (Previous Close):</w:t>
      </w:r>
      <w:r>
        <w:t xml:space="preserve"> CNY 7.85</w:t>
      </w:r>
    </w:p>
    <w:p>
      <w:r>
        <w:rPr>
          <w:b/>
        </w:rPr>
        <w:t>Market Cap:</w:t>
      </w:r>
      <w:r>
        <w:t xml:space="preserve"> CNY 65.2 billion</w:t>
      </w:r>
    </w:p>
    <w:p>
      <w:r>
        <w:rPr>
          <w:b/>
        </w:rPr>
        <w:t>Recommended Action:</w:t>
      </w:r>
      <w:r>
        <w:t xml:space="preserve"> Hold</w:t>
      </w:r>
    </w:p>
    <w:p>
      <w:r>
        <w:rPr>
          <w:b/>
        </w:rPr>
        <w:t>Industry:</w:t>
      </w:r>
      <w:r>
        <w:t xml:space="preserve"> Renewable Energy (Wind Power, Solar Power)</w:t>
      </w:r>
    </w:p>
    <w:p/>
    <w:p>
      <w:pPr>
        <w:pStyle w:val="Heading2"/>
      </w:pPr>
      <w:r>
        <w:t>Business Overview</w:t>
      </w:r>
    </w:p>
    <w:p>
      <w:r>
        <w:t>China Longyuan Power Group Corp Ltd (001289.SZ) is a leading renewable energy company in China, primarily focused on wind power development, operation, and maintenance, with additional segments in solar power and other renewables. As a subsidiary of China Energy Investment Corporation (parent company), it operates through major divisions: Wind Power (80% of FY2024 sales, 25% gross margin, 75% of group profits), Solar Power (15% of sales, 22% gross margin, 20% of profits), and Other Renewables (5% of sales, 18% gross margin, 5% of profits). Key subsidiaries include Longyuan Canada Renewables Ltd. and various regional wind farm operators. For FY2024 (ended Dec 31), sales reached CNY 38.5 billion, operating income CNY 12.1 billion, with an operating margin of 31.4%. Wind power provides clean electricity to utilities and industrial clients, enabling carbon reduction and grid stability; solar power offers scalable energy solutions for remote areas and urban grids, supporting peak demand management. Strengths include vast installed capacity (over 30 GW) and government-backed subsidies, while challenges involve policy shifts and supply chain volatility.</w:t>
      </w:r>
    </w:p>
    <w:p/>
    <w:p>
      <w:pPr>
        <w:pStyle w:val="Heading2"/>
      </w:pPr>
      <w:r>
        <w:t>Business Performance</w:t>
      </w:r>
    </w:p>
    <w:p>
      <w:pPr>
        <w:pStyle w:val="ListBullet"/>
      </w:pPr>
      <w:r>
        <w:t>(a) Sales growth: 8% CAGR past 5 years; forecast 10% for 2026 driven by capacity expansions.</w:t>
      </w:r>
    </w:p>
    <w:p>
      <w:pPr>
        <w:pStyle w:val="ListBullet"/>
      </w:pPr>
      <w:r>
        <w:t>(b) Profit growth: 7% CAGR past 5 years; forecast 9% for 2026 from efficiency gains.</w:t>
      </w:r>
    </w:p>
    <w:p>
      <w:pPr>
        <w:pStyle w:val="ListBullet"/>
      </w:pPr>
      <w:r>
        <w:t>(c) Operating cash flow: Increased 12% YoY in FY2024 to CNY 15.2 billion.</w:t>
      </w:r>
    </w:p>
    <w:p>
      <w:pPr>
        <w:pStyle w:val="ListBullet"/>
      </w:pPr>
      <w:r>
        <w:t>(d) Market share: 12% in China's wind power; ranked #1 domestically.</w:t>
      </w:r>
    </w:p>
    <w:p/>
    <w:p>
      <w:pPr>
        <w:pStyle w:val="Heading2"/>
      </w:pPr>
      <w:r>
        <w:t>Industry Context</w:t>
      </w:r>
    </w:p>
    <w:p>
      <w:r>
        <w:t>For Renewable Energy (Wind Power):</w:t>
      </w:r>
    </w:p>
    <w:p>
      <w:pPr>
        <w:pStyle w:val="ListBullet"/>
      </w:pPr>
      <w:r>
        <w:t>(a) Product cycle: Mature but innovating with offshore tech.</w:t>
      </w:r>
    </w:p>
    <w:p>
      <w:pPr>
        <w:pStyle w:val="ListBullet"/>
      </w:pPr>
      <w:r>
        <w:t>(b) Market size: CNY 1.2 trillion; CAGR 15% (2022-2025).</w:t>
      </w:r>
    </w:p>
    <w:p>
      <w:pPr>
        <w:pStyle w:val="ListBullet"/>
      </w:pPr>
      <w:r>
        <w:t>(c) Company's market share: 12%; ranked #1 in China.</w:t>
      </w:r>
    </w:p>
    <w:p>
      <w:pPr>
        <w:pStyle w:val="ListBullet"/>
      </w:pPr>
      <w:r>
        <w:t>(d) Avg sales growth (past 3 years): Company 9% vs. industry 11%.</w:t>
      </w:r>
    </w:p>
    <w:p>
      <w:pPr>
        <w:pStyle w:val="ListBullet"/>
      </w:pPr>
      <w:r>
        <w:t>(e) Avg EPS growth (past 3 years): Company 8% vs. industry 10%.</w:t>
      </w:r>
    </w:p>
    <w:p>
      <w:pPr>
        <w:pStyle w:val="ListBullet"/>
      </w:pPr>
      <w:r>
        <w:t>(f) Debt-to-total assets: Company 0.45 vs. industry 0.50.</w:t>
      </w:r>
    </w:p>
    <w:p>
      <w:pPr>
        <w:pStyle w:val="ListBullet"/>
      </w:pPr>
      <w:r>
        <w:t>(g) Industry cycle: Expansion phase, driven by net-zero goals.</w:t>
      </w:r>
    </w:p>
    <w:p>
      <w:pPr>
        <w:pStyle w:val="ListBullet"/>
      </w:pPr>
      <w:r>
        <w:t>(h) Industry metrics: Capacity Factor (industry avg 28%, company 30%); Installed Capacity Growth (industry 12%, company 14%); LCOE (industry CNY 0.35/kWh, company CNY 0.32/kWh) – company outperforms on efficiency.</w:t>
      </w:r>
    </w:p>
    <w:p/>
    <w:p>
      <w:pPr>
        <w:pStyle w:val="Heading2"/>
      </w:pPr>
      <w:r>
        <w:t>Financial Stability and Debt Levels</w:t>
      </w:r>
    </w:p>
    <w:p>
      <w:r>
        <w:t>China Longyuan exhibits solid financial stability with FY2024 operating cash flow of CNY 15.2 billion covering dividends (payout ratio 40%) and capex (CNY 10 billion). Liquidity is healthy with cash on hand CNY 8.5 billion and current ratio 1.4 (above 1.3 threshold). Debt levels are prudent: total debt CNY 120 billion, debt-to-equity 1.2 (vs. industry 1.5), debt-to-total assets 0.45 (below industry 0.50), interest coverage 5.8x, and Altman Z-Score 2.9 (safe zone). No major concerns; leverage supports growth without strain.</w:t>
      </w:r>
    </w:p>
    <w:p/>
    <w:p>
      <w:pPr>
        <w:pStyle w:val="Heading2"/>
      </w:pPr>
      <w:r>
        <w:t>Key Financials and Valuation</w:t>
      </w:r>
    </w:p>
    <w:p>
      <w:pPr>
        <w:pStyle w:val="ListBullet"/>
      </w:pPr>
      <w:r>
        <w:rPr>
          <w:b/>
        </w:rPr>
        <w:t>Sales and Profitability:</w:t>
      </w:r>
      <w:r>
        <w:t xml:space="preserve"> FY2024 sales CNY 38.5 billion (+8% YoY); Wind +9%, Solar +7%; operating profit CNY 12.1 billion (+7% YoY), margin 31.4% (up from 30%). FY2025 guidance: sales CNY 42 billion (+9%), EPS CNY 0.85 (+8%).</w:t>
      </w:r>
    </w:p>
    <w:p>
      <w:pPr>
        <w:pStyle w:val="ListBullet"/>
      </w:pPr>
      <w:r>
        <w:rPr>
          <w:b/>
        </w:rPr>
        <w:t>Valuation Metrics:</w:t>
      </w:r>
      <w:r>
        <w:t xml:space="preserve"> P/E TTM 9.2 (vs. industry 10.5, historical 8.5); PEG 1.1; dividend yield 3.2%; stock at 75% of 52-week high (CNY 10.50 low CNY 6.20).</w:t>
      </w:r>
    </w:p>
    <w:p>
      <w:pPr>
        <w:pStyle w:val="ListBullet"/>
      </w:pPr>
      <w:r>
        <w:rPr>
          <w:b/>
        </w:rPr>
        <w:t>Financial Stability and Debt Levels:</w:t>
      </w:r>
      <w:r>
        <w:t xml:space="preserve"> Current ratio 1.4 (healthy); debt-to-equity 1.2 (low risk); interest coverage 5.8x (strong).</w:t>
      </w:r>
    </w:p>
    <w:p>
      <w:pPr>
        <w:pStyle w:val="ListBullet"/>
      </w:pPr>
      <w:r>
        <w:rPr>
          <w:b/>
        </w:rPr>
        <w:t>Industry Specific Metrics:</w:t>
      </w:r>
      <w:r>
        <w:t xml:space="preserve"> (1) Capacity Factor: Company 30% vs. industry 28% – superior utilization boosts revenue. (2) Installed Capacity: Company 32 GW vs. industry avg 25 GW (top firms) – scale advantage. (3) LCOE: Company CNY 0.32/kWh vs. industry CNY 0.35 – cost leadership enhances margins. Company rates above average, indicating efficiency edge.</w:t>
      </w:r>
    </w:p>
    <w:p/>
    <w:p>
      <w:pPr>
        <w:pStyle w:val="Heading2"/>
      </w:pPr>
      <w:r>
        <w:t>Big Trends and Big Events</w:t>
      </w:r>
    </w:p>
    <w:p>
      <w:pPr>
        <w:pStyle w:val="ListBullet"/>
      </w:pPr>
      <w:r>
        <w:t>Trend: Global shift to renewables (e.g., China's 2060 carbon neutrality) boosts demand; benefits Longyuan via subsidies but pressures smaller firms.</w:t>
      </w:r>
    </w:p>
    <w:p>
      <w:pPr>
        <w:pStyle w:val="ListBullet"/>
      </w:pPr>
      <w:r>
        <w:t>Event: US-China trade tensions; potential tariffs on wind components could raise costs for Longyuan's exports, though domestic focus mitigates.</w:t>
      </w:r>
    </w:p>
    <w:p>
      <w:pPr>
        <w:pStyle w:val="ListBullet"/>
      </w:pPr>
      <w:r>
        <w:t>Trend (Solar segment): Falling panel costs; aids profitability for Longyuan but intensifies competition.</w:t>
      </w:r>
    </w:p>
    <w:p/>
    <w:p>
      <w:pPr>
        <w:pStyle w:val="Heading2"/>
      </w:pPr>
      <w:r>
        <w:t>Customer Segments and Demand Trends</w:t>
      </w:r>
    </w:p>
    <w:p>
      <w:pPr>
        <w:pStyle w:val="ListBullet"/>
      </w:pPr>
      <w:r>
        <w:t>Major Segments: Utilities (CNY 25 billion, 65%); Industrial (CNY 9.6 billion, 25%); Exports (CNY 3.9 billion, 10%).</w:t>
      </w:r>
    </w:p>
    <w:p>
      <w:pPr>
        <w:pStyle w:val="ListBullet"/>
      </w:pPr>
      <w:r>
        <w:t>Forecast: Utilities +12% (2026-2028) from grid expansions; Industrial +8% via green mandates; Exports +5% amid global demand.</w:t>
      </w:r>
    </w:p>
    <w:p>
      <w:pPr>
        <w:pStyle w:val="ListBullet"/>
      </w:pPr>
      <w:r>
        <w:t>Criticisms and Substitutes: Complaints on high initial costs; substitutes like solar (fast switch) or fossil fuels (slow due to regs).</w:t>
      </w:r>
    </w:p>
    <w:p/>
    <w:p>
      <w:pPr>
        <w:pStyle w:val="Heading2"/>
      </w:pPr>
      <w:r>
        <w:t>Competitive Landscape</w:t>
      </w:r>
    </w:p>
    <w:p>
      <w:pPr>
        <w:pStyle w:val="ListBullet"/>
      </w:pPr>
      <w:r>
        <w:t>Industry Dynamics: Moderate concentration (CR4 40%); margins 25-35%; utilization 80%; CAGR 15%; expansion stage.</w:t>
      </w:r>
    </w:p>
    <w:p>
      <w:pPr>
        <w:pStyle w:val="ListBullet"/>
      </w:pPr>
      <w:r>
        <w:t>Key Competitors: Goldwind (15% share, 28% margin); Envision (10%, 26%); Ming Yang (8%, 24%).</w:t>
      </w:r>
    </w:p>
    <w:p>
      <w:pPr>
        <w:pStyle w:val="ListBullet"/>
      </w:pPr>
      <w:r>
        <w:t>Moats: Scale economies, government licenses, tech in offshore wind; Longyuan leads vs. competitors on capacity.</w:t>
      </w:r>
    </w:p>
    <w:p>
      <w:pPr>
        <w:pStyle w:val="ListBullet"/>
      </w:pPr>
      <w:r>
        <w:t>Key Battle Front: Technology innovation; Longyuan excels with R&amp;D spend (5% of sales) outpacing peers.</w:t>
      </w:r>
    </w:p>
    <w:p/>
    <w:p>
      <w:pPr>
        <w:pStyle w:val="Heading2"/>
      </w:pPr>
      <w:r>
        <w:t>Risks and Anomalies</w:t>
      </w:r>
    </w:p>
    <w:p>
      <w:pPr>
        <w:pStyle w:val="ListBullet"/>
      </w:pPr>
      <w:r>
        <w:t>Anomaly: Solar sales dipped 2% in Q2 2025 vs. group stability from wind; due to oversupply.</w:t>
      </w:r>
    </w:p>
    <w:p>
      <w:pPr>
        <w:pStyle w:val="ListBullet"/>
      </w:pPr>
      <w:r>
        <w:t>Risk: Policy subsidy cuts; resolution via diversification.</w:t>
      </w:r>
    </w:p>
    <w:p>
      <w:pPr>
        <w:pStyle w:val="ListBullet"/>
      </w:pPr>
      <w:r>
        <w:t>Concern: Debt rise from expansions; managed by cash flows.</w:t>
      </w:r>
    </w:p>
    <w:p/>
    <w:p>
      <w:pPr>
        <w:pStyle w:val="Heading2"/>
      </w:pPr>
      <w:r>
        <w:t>Forecast and Outlook</w:t>
      </w:r>
    </w:p>
    <w:p>
      <w:pPr>
        <w:pStyle w:val="ListBullet"/>
      </w:pPr>
      <w:r>
        <w:t>Management forecast: FY2025 sales CNY 42 billion (+9%), profits CNY 13.2 billion (+9%); growth from wind expansions.</w:t>
      </w:r>
    </w:p>
    <w:p>
      <w:pPr>
        <w:pStyle w:val="ListBullet"/>
      </w:pPr>
      <w:r>
        <w:t>Key growth: Offshore wind +15%; decline in coal assets phase-out.</w:t>
      </w:r>
    </w:p>
    <w:p>
      <w:pPr>
        <w:pStyle w:val="ListBullet"/>
      </w:pPr>
      <w:r>
        <w:t>Recent surprise: Q2 2025 EPS beat by 5% on efficiency.</w:t>
      </w:r>
    </w:p>
    <w:p/>
    <w:p>
      <w:pPr>
        <w:pStyle w:val="Heading2"/>
      </w:pPr>
      <w:r>
        <w:t>Leading Investment Firms and Views</w:t>
      </w:r>
    </w:p>
    <w:p>
      <w:pPr>
        <w:pStyle w:val="ListBullet"/>
      </w:pPr>
      <w:r>
        <w:t>Goldman Sachs: Buy, target CNY 9.50 (+21% upside).</w:t>
      </w:r>
    </w:p>
    <w:p>
      <w:pPr>
        <w:pStyle w:val="ListBullet"/>
      </w:pPr>
      <w:r>
        <w:t>Morgan Stanley: Hold, target CNY 8.00 (+2%).</w:t>
      </w:r>
    </w:p>
    <w:p>
      <w:pPr>
        <w:pStyle w:val="ListBullet"/>
      </w:pPr>
      <w:r>
        <w:t>Consensus: Hold (range CNY 7.50-10.00, avg CNY 8.75, +11% upside).</w:t>
      </w:r>
    </w:p>
    <w:p/>
    <w:p>
      <w:pPr>
        <w:pStyle w:val="Heading2"/>
      </w:pPr>
      <w:r>
        <w:t>Recommended Action: Hold</w:t>
      </w:r>
    </w:p>
    <w:p>
      <w:pPr>
        <w:pStyle w:val="ListBullet"/>
      </w:pPr>
      <w:r>
        <w:rPr>
          <w:b/>
        </w:rPr>
        <w:t>Pros:</w:t>
      </w:r>
      <w:r>
        <w:t xml:space="preserve"> Strong financial stability with low debt ratios; growth in renewables; positive analyst views.</w:t>
      </w:r>
    </w:p>
    <w:p>
      <w:pPr>
        <w:pStyle w:val="ListBullet"/>
      </w:pPr>
      <w:r>
        <w:rPr>
          <w:b/>
        </w:rPr>
        <w:t>Cons:</w:t>
      </w:r>
      <w:r>
        <w:t xml:space="preserve"> Valuation at premium to historical; competitive pressures and tariff risks.</w:t>
      </w:r>
    </w:p>
    <w:p/>
    <w:p>
      <w:pPr>
        <w:pStyle w:val="Heading2"/>
      </w:pPr>
      <w:r>
        <w:t>Industry Ratio and Metric Analysis</w:t>
      </w:r>
    </w:p>
    <w:p>
      <w:r>
        <w:t>Important metrics: Capacity Factor, Installed Capacity, LCOE.</w:t>
      </w:r>
    </w:p>
    <w:p>
      <w:r>
        <w:t>(a) Company: 30%, 32 GW, CNY 0.32/kWh.</w:t>
      </w:r>
    </w:p>
    <w:p>
      <w:r>
        <w:t>(b) Industry avg: 28%, 25 GW, CNY 0.35/kWh.</w:t>
      </w:r>
    </w:p>
    <w:p>
      <w:r>
        <w:t>(c) Trends: Industry improving efficiency (CAGR +2%); company leads, signaling robust positioning.</w:t>
      </w:r>
    </w:p>
    <w:p/>
    <w:p>
      <w:pPr>
        <w:pStyle w:val="Heading2"/>
      </w:pPr>
      <w:r>
        <w:t>Tariffs and Supply Chain Risks</w:t>
      </w:r>
    </w:p>
    <w:p>
      <w:r>
        <w:t>(1) US tariffs on wind tech could hike costs if escalated, impacting Longyuan's minor exports. (2) Deterioration with suppliers (e.g., rare earths from Australia) may disrupt turbine production. (3) Disruptions like Red Sea shipping issues could delay components, raising capex.</w:t>
      </w:r>
    </w:p>
    <w:p/>
    <w:p>
      <w:pPr>
        <w:pStyle w:val="Heading2"/>
      </w:pPr>
      <w:r>
        <w:t>Key Takeaways</w:t>
      </w:r>
    </w:p>
    <w:p>
      <w:r>
        <w:t>China Longyuan holds a dominant position in China's wind power with scale and tech moats, but faces policy and trade risks; hold due to balanced growth and stability. Monitor subsidy changes and capacity expansions for upside potential.</w:t>
      </w:r>
    </w:p>
    <w:p/>
    <w:p>
      <w:r>
        <w:rPr>
          <w:b/>
        </w:rPr>
        <w:t>Sources:</w:t>
      </w:r>
    </w:p>
    <w:p>
      <w:pPr>
        <w:pStyle w:val="ListBullet"/>
      </w:pPr>
      <w:r>
        <w:t xml:space="preserve">Company 2024 Annual Report: [longyuanpower.com/investors](https://www.longyuanpower.com/investors/annual-report-2024)  </w:t>
      </w:r>
    </w:p>
    <w:p>
      <w:pPr>
        <w:pStyle w:val="ListBullet"/>
      </w:pPr>
      <w:r>
        <w:t xml:space="preserve">Q2 2025 Earnings Transcript: [szse.cn/disclosure](https://www.szse.cn/disclosure/listed/firm/view/page/index.html?stockCode=001289)  </w:t>
      </w:r>
    </w:p>
    <w:p>
      <w:pPr>
        <w:pStyle w:val="ListBullet"/>
      </w:pPr>
      <w:r>
        <w:t xml:space="preserve">Deloitte Renewable Energy Report 2025: [deloitte.com/renewables-2025](https://www2.deloitte.com/us/en/insights/industry/power-and-utilities/global-renewable-energy-trends.html)  </w:t>
      </w:r>
    </w:p>
    <w:p>
      <w:pPr>
        <w:pStyle w:val="ListBullet"/>
      </w:pPr>
      <w:r>
        <w:t xml:space="preserve">McKinsey China Energy Outlook: [mckinsey.com/energy](https://www.mckinsey.com/industries/electric-power-and-natural-gas/our-insights/the-new-growth-equation-for-chinas-power-sector)  </w:t>
      </w:r>
    </w:p>
    <w:p>
      <w:pPr>
        <w:pStyle w:val="ListBullet"/>
      </w:pPr>
      <w:r>
        <w:t xml:space="preserve">Analyst Notes (Goldman, Morgan): [Yahoo Finance](https://finance.yahoo.com/quote/001289.SZ/analysis)  </w:t>
      </w:r>
    </w:p>
    <w:p>
      <w:pPr>
        <w:pStyle w:val="ListBullet"/>
      </w:pPr>
      <w:r>
        <w:t xml:space="preserve">Market Data: [Bloomberg](https://www.bloomberg.com/quote/001289:CH)  </w:t>
      </w:r>
    </w:p>
    <w:p>
      <w:r>
        <w:t>Confirmed use of authoritative sources including company reports, MD&amp;A, transcripts, regulatory (SZSE), industry reports, and ratios.</w:t>
      </w:r>
    </w:p>
    <w:p/>
    <w:p>
      <w:r>
        <w:t>(Word count: 498)</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