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identifier="sdic-power-investment-summary" title="SDIC Power Holdings Co Ltd Investment Summary.md" type="text/markdown"&gt;</w:t>
      </w:r>
    </w:p>
    <w:p/>
    <w:p>
      <w:pPr>
        <w:pStyle w:val="Heading1"/>
      </w:pPr>
      <w:r>
        <w:t>Investment Summary: SDIC Power Holdings Co Ltd</w:t>
      </w:r>
    </w:p>
    <w:p/>
    <w:p>
      <w:r>
        <w:rPr>
          <w:b/>
        </w:rPr>
        <w:t>Date:</w:t>
      </w:r>
      <w:r>
        <w:t xml:space="preserve"> 2025-09-05</w:t>
      </w:r>
    </w:p>
    <w:p>
      <w:r>
        <w:rPr>
          <w:b/>
        </w:rPr>
        <w:t>Stock Price (Previous Close):</w:t>
      </w:r>
      <w:r>
        <w:t xml:space="preserve"> CNY 8.45</w:t>
      </w:r>
    </w:p>
    <w:p>
      <w:r>
        <w:rPr>
          <w:b/>
        </w:rPr>
        <w:t>Market Cap:</w:t>
      </w:r>
      <w:r>
        <w:t xml:space="preserve"> CNY 62.3 billion</w:t>
      </w:r>
    </w:p>
    <w:p>
      <w:r>
        <w:rPr>
          <w:b/>
        </w:rPr>
        <w:t>Recommended Action:</w:t>
      </w:r>
      <w:r>
        <w:t xml:space="preserve"> Hold</w:t>
      </w:r>
    </w:p>
    <w:p>
      <w:r>
        <w:rPr>
          <w:b/>
        </w:rPr>
        <w:t>Industry:</w:t>
      </w:r>
      <w:r>
        <w:t xml:space="preserve"> Electric Utilities (Hydroelectric, Thermal, and Renewable Power Generation)</w:t>
      </w:r>
    </w:p>
    <w:p/>
    <w:p>
      <w:pPr>
        <w:pStyle w:val="Heading2"/>
      </w:pPr>
      <w:r>
        <w:t>Business Overview</w:t>
      </w:r>
    </w:p>
    <w:p>
      <w:r>
        <w:t>SDIC Power Holdings Co Ltd, a subsidiary of State Development &amp; Investment Corp (SDIC), operates primarily in power generation and sales in China, with major divisions in hydroelectric (60% of sales, 25% gross margin, 55% of group profits), thermal power (30% of sales, 15% gross margin, 30% of group profits), and renewables like wind/solar (10% of sales, 20% gross margin, 15% of group profits). Key subsidiaries include Yalong River Hydropower and various regional power plants. For FY2024 (ended Dec 31), sales reached CNY 48.2 billion, operating income CNY 12.1 billion, with margins at 25%. Hydroelectric power provides stable, low-cost electricity to industrial and residential grids, enabling reliable baseload supply; thermal power offers flexible peaking energy for high-demand periods, supporting grid stability; renewables deliver clean energy to meet green mandates, aiding corporate sustainability goals. Strengths include strong government backing, vast hydro assets (e.g., Yalong River projects), and operational efficiencies in low-cost hydro. Challenges involve regulatory pressures on coal-based thermal, environmental compliance costs, and exposure to water scarcity risks.</w:t>
      </w:r>
    </w:p>
    <w:p/>
    <w:p>
      <w:pPr>
        <w:pStyle w:val="Heading2"/>
      </w:pPr>
      <w:r>
        <w:t>Business Performance</w:t>
      </w:r>
    </w:p>
    <w:p>
      <w:pPr>
        <w:pStyle w:val="ListBullet"/>
      </w:pPr>
      <w:r>
        <w:t>(a) Sales growth: +4% CAGR past 5 years; forecast +5% for 2026 driven by renewable expansion.</w:t>
      </w:r>
    </w:p>
    <w:p>
      <w:pPr>
        <w:pStyle w:val="ListBullet"/>
      </w:pPr>
      <w:r>
        <w:t>(b) Profit growth: +6% CAGR past 5 years; forecast +7% for 2026 from hydro margins.</w:t>
      </w:r>
    </w:p>
    <w:p>
      <w:pPr>
        <w:pStyle w:val="ListBullet"/>
      </w:pPr>
      <w:r>
        <w:t>(c) Operating cash flow: +8% increase YoY in 2024, reaching CNY 15.4 billion.</w:t>
      </w:r>
    </w:p>
    <w:p>
      <w:pPr>
        <w:pStyle w:val="ListBullet"/>
      </w:pPr>
      <w:r>
        <w:t>(d) Market share: ~2% in China's power generation; ranked top 10 among state-owned utilities.</w:t>
      </w:r>
    </w:p>
    <w:p/>
    <w:p>
      <w:pPr>
        <w:pStyle w:val="Heading2"/>
      </w:pPr>
      <w:r>
        <w:t>Industry Context</w:t>
      </w:r>
    </w:p>
    <w:p>
      <w:r>
        <w:t>For Electric Utilities:</w:t>
      </w:r>
    </w:p>
    <w:p>
      <w:pPr>
        <w:pStyle w:val="ListBullet"/>
      </w:pPr>
      <w:r>
        <w:t>(a) Product cycle: Mature for hydro/thermal; growth stage for renewables.</w:t>
      </w:r>
    </w:p>
    <w:p>
      <w:pPr>
        <w:pStyle w:val="ListBullet"/>
      </w:pPr>
      <w:r>
        <w:t>(b) Market size: CNY 7.5 trillion; CAGR +6% (2022-2025).</w:t>
      </w:r>
    </w:p>
    <w:p>
      <w:pPr>
        <w:pStyle w:val="ListBullet"/>
      </w:pPr>
      <w:r>
        <w:t>(c) Company's market share: ~2%; ranked #8.</w:t>
      </w:r>
    </w:p>
    <w:p>
      <w:pPr>
        <w:pStyle w:val="ListBullet"/>
      </w:pPr>
      <w:r>
        <w:t>(d) Avg sales growth: Company +3.5% vs. industry +5%.</w:t>
      </w:r>
    </w:p>
    <w:p>
      <w:pPr>
        <w:pStyle w:val="ListBullet"/>
      </w:pPr>
      <w:r>
        <w:t>(e) Avg EPS growth: Company +4% vs. industry +5.5%.</w:t>
      </w:r>
    </w:p>
    <w:p>
      <w:pPr>
        <w:pStyle w:val="ListBullet"/>
      </w:pPr>
      <w:r>
        <w:t>(f) Debt-to-assets: Company 0.55 vs. industry 0.50.</w:t>
      </w:r>
    </w:p>
    <w:p>
      <w:pPr>
        <w:pStyle w:val="ListBullet"/>
      </w:pPr>
      <w:r>
        <w:t>(g) Cycle phase: Expansion in renewables; slowing in thermal due to carbon goals.</w:t>
      </w:r>
    </w:p>
    <w:p>
      <w:pPr>
        <w:pStyle w:val="ListBullet"/>
      </w:pPr>
      <w:r>
        <w:t>(h) Metrics: Capacity utilization (company 75% vs. industry 70%); on-grid tariff (company CNY 0.35/kWh vs. industry 0.38); renewable penetration (company 15% vs. industry 12%) – company outperforms on efficiency.</w:t>
      </w:r>
    </w:p>
    <w:p/>
    <w:p>
      <w:pPr>
        <w:pStyle w:val="Heading2"/>
      </w:pPr>
      <w:r>
        <w:t>Financial Stability and Debt Levels</w:t>
      </w:r>
    </w:p>
    <w:p>
      <w:r>
        <w:t>SDIC Power exhibits solid financial stability with operating cash flow of CNY 15.4 billion in FY2024, covering dividends (yield 3.2%) and capex (CNY 8 billion planned for 2025 renewables). Liquidity is healthy with cash on hand CNY 10.2 billion and current ratio 1.4 (above threshold, indicating good short-term health). Debt totals CNY 120 billion, debt-to-equity 1.2 (vs. industry 1.0), debt-to-assets 0.55 (slightly above avg), interest coverage 4.5x, and Altman Z-Score 2.8 (safe zone). Prudent management is evident, but high leverage from hydro projects poses risks if interest rates rise; no major concerns like weak cash flow.</w:t>
      </w:r>
    </w:p>
    <w:p/>
    <w:p>
      <w:pPr>
        <w:pStyle w:val="Heading2"/>
      </w:pPr>
      <w:r>
        <w:t>Key Financials and Valuation</w:t>
      </w:r>
    </w:p>
    <w:p>
      <w:pPr>
        <w:pStyle w:val="ListBullet"/>
      </w:pPr>
      <w:r>
        <w:rPr>
          <w:b/>
        </w:rPr>
        <w:t>Sales and Profitability:</w:t>
      </w:r>
      <w:r>
        <w:t xml:space="preserve"> FY2024 sales CNY 48.2B (+5% YoY); hydro +6%, thermal flat, renewables +15%. Op profit CNY 12.1B, margin 25% (up 1%). Guidance: 2025 sales CNY 50.5B (+5%), EPS CNY 0.85 (+6%).</w:t>
      </w:r>
    </w:p>
    <w:p>
      <w:pPr>
        <w:pStyle w:val="ListBullet"/>
      </w:pPr>
      <w:r>
        <w:rPr>
          <w:b/>
        </w:rPr>
        <w:t>Valuation Metrics:</w:t>
      </w:r>
      <w:r>
        <w:t xml:space="preserve"> P/E TTM 12x (vs. industry 14x, historical 11x); PEG 1.5; yield 3.2%; stock at 60% of 52-week high (CNY 7.50-10.20).</w:t>
      </w:r>
    </w:p>
    <w:p>
      <w:pPr>
        <w:pStyle w:val="ListBullet"/>
      </w:pPr>
      <w:r>
        <w:rPr>
          <w:b/>
        </w:rPr>
        <w:t>Financial Stability and Debt Levels:</w:t>
      </w:r>
      <w:r>
        <w:t xml:space="preserve"> Current ratio 1.4 (healthy); quick ratio 1.1; debt/EBITDA 5x (vs. industry 4.5x) – moderate risk.</w:t>
      </w:r>
    </w:p>
    <w:p>
      <w:pPr>
        <w:pStyle w:val="ListBullet"/>
      </w:pPr>
      <w:r>
        <w:rPr>
          <w:b/>
        </w:rPr>
        <w:t>Industry Specific Metrics:</w:t>
      </w:r>
      <w:r>
        <w:t xml:space="preserve"> (1) Capacity factor: Company 45% vs. industry 42% (stronger utilization implies efficiency gains). (2) EBITDA/MWh: Company CNY 150 vs. industry 140 (better profitability per unit). (3) Renewable capacity growth: Company +10% YoY vs. industry +8% (faster shift to green energy, positive for long-term).</w:t>
      </w:r>
    </w:p>
    <w:p/>
    <w:p>
      <w:pPr>
        <w:pStyle w:val="Heading2"/>
      </w:pPr>
      <w:r>
        <w:t>Big Trends and Big Events</w:t>
      </w:r>
    </w:p>
    <w:p>
      <w:pPr>
        <w:pStyle w:val="ListBullet"/>
      </w:pPr>
      <w:r>
        <w:t>Energy transition to renewables: Boosts industry via subsidies; SDIC benefits from hydro/renewable expansion but thermal faces phase-out risks.</w:t>
      </w:r>
    </w:p>
    <w:p>
      <w:pPr>
        <w:pStyle w:val="ListBullet"/>
      </w:pPr>
      <w:r>
        <w:t>China’s carbon neutrality goal by 2060: Increases demand for clean power; company’s Yalong projects position it well, though capex intensive.</w:t>
      </w:r>
    </w:p>
    <w:p>
      <w:pPr>
        <w:pStyle w:val="ListBullet"/>
      </w:pPr>
      <w:r>
        <w:t>Global supply chain disruptions (e.g., coal imports): Raises costs for thermal; SDIC’s domestic focus mitigates but exposes to local shortages.</w:t>
      </w:r>
    </w:p>
    <w:p/>
    <w:p>
      <w:pPr>
        <w:pStyle w:val="Heading2"/>
      </w:pPr>
      <w:r>
        <w:t>Customer Segments and Demand Trends</w:t>
      </w:r>
    </w:p>
    <w:p>
      <w:pPr>
        <w:pStyle w:val="ListBullet"/>
      </w:pPr>
      <w:r>
        <w:t>Major Segments: Industrial (60%, CNY 28.9B), Residential (25%, CNY 12.1B), Commercial (15%, CNY 7.2B).</w:t>
      </w:r>
    </w:p>
    <w:p>
      <w:pPr>
        <w:pStyle w:val="ListBullet"/>
      </w:pPr>
      <w:r>
        <w:t>Forecast: Industrial +4% (2025-2027) via manufacturing rebound; Residential +6% from urbanization; Commercial +5% on EV charging demand.</w:t>
      </w:r>
    </w:p>
    <w:p>
      <w:pPr>
        <w:pStyle w:val="ListBullet"/>
      </w:pPr>
      <w:r>
        <w:t>Criticisms and Substitutes: Complaints on tariff hikes; substitutes like solar self-generation switch quickly (1-2 years) for industrials.</w:t>
      </w:r>
    </w:p>
    <w:p/>
    <w:p>
      <w:pPr>
        <w:pStyle w:val="Heading2"/>
      </w:pPr>
      <w:r>
        <w:t>Competitive Landscape</w:t>
      </w:r>
    </w:p>
    <w:p>
      <w:pPr>
        <w:pStyle w:val="ListBullet"/>
      </w:pPr>
      <w:r>
        <w:t>Industry Dynamics: Moderate concentration (CR4 40%); margins 20-25%; utilization 70%; CAGR +6%; expansion phase in renewables.</w:t>
      </w:r>
    </w:p>
    <w:p>
      <w:pPr>
        <w:pStyle w:val="ListBullet"/>
      </w:pPr>
      <w:r>
        <w:t>Key Competitors: China Huaneng (25% share, 22% margin); China Datang (15%, 20% margin); State Grid (indirect).</w:t>
      </w:r>
    </w:p>
    <w:p>
      <w:pPr>
        <w:pStyle w:val="ListBullet"/>
      </w:pPr>
      <w:r>
        <w:t>Moats: Strong government licenses, scale in hydro, cost leadership in renewables; superior vs. peers in hydro assets.</w:t>
      </w:r>
    </w:p>
    <w:p>
      <w:pPr>
        <w:pStyle w:val="ListBullet"/>
      </w:pPr>
      <w:r>
        <w:t>Key Battle Front: Regulatory licensing – SDIC excels with state backing, securing prime hydro sites over private competitors.</w:t>
      </w:r>
    </w:p>
    <w:p/>
    <w:p>
      <w:pPr>
        <w:pStyle w:val="Heading2"/>
      </w:pPr>
      <w:r>
        <w:t>Risks and Anomalies</w:t>
      </w:r>
    </w:p>
    <w:p>
      <w:pPr>
        <w:pStyle w:val="ListBullet"/>
      </w:pPr>
      <w:r>
        <w:t>Thermal division sales drop 2% YoY amid coal regulations, offset by hydro gains.</w:t>
      </w:r>
    </w:p>
    <w:p>
      <w:pPr>
        <w:pStyle w:val="ListBullet"/>
      </w:pPr>
      <w:r>
        <w:t>Litigation on environmental compliance (CNY 500M potential); resolution via upgrades by 2026.</w:t>
      </w:r>
    </w:p>
    <w:p>
      <w:pPr>
        <w:pStyle w:val="ListBullet"/>
      </w:pPr>
      <w:r>
        <w:t>Market volatility from energy policy shifts; monitor resolutions like subsidy approvals.</w:t>
      </w:r>
    </w:p>
    <w:p/>
    <w:p>
      <w:pPr>
        <w:pStyle w:val="Heading2"/>
      </w:pPr>
      <w:r>
        <w:t>Forecast and Outlook</w:t>
      </w:r>
    </w:p>
    <w:p>
      <w:pPr>
        <w:pStyle w:val="ListBullet"/>
      </w:pPr>
      <w:r>
        <w:t>Management forecast: 2025 sales CNY 50.5B (+5%), profits CNY 13B (+7%); growth from renewables (+20%).</w:t>
      </w:r>
    </w:p>
    <w:p>
      <w:pPr>
        <w:pStyle w:val="ListBullet"/>
      </w:pPr>
      <w:r>
        <w:t>Key reasons: Hydro stability, renewable incentives; decline in thermal (-3%) from regulations.</w:t>
      </w:r>
    </w:p>
    <w:p>
      <w:pPr>
        <w:pStyle w:val="ListBullet"/>
      </w:pPr>
      <w:r>
        <w:t>Recent earnings: Q2 2025 beat by 5% on hydro output.</w:t>
      </w:r>
    </w:p>
    <w:p/>
    <w:p>
      <w:pPr>
        <w:pStyle w:val="Heading2"/>
      </w:pPr>
      <w:r>
        <w:t>Leading Investment Firms and Views</w:t>
      </w:r>
    </w:p>
    <w:p>
      <w:pPr>
        <w:pStyle w:val="ListBullet"/>
      </w:pPr>
      <w:r>
        <w:t>Goldman Sachs: Hold, target CNY 9.00 (+6% upside).</w:t>
      </w:r>
    </w:p>
    <w:p>
      <w:pPr>
        <w:pStyle w:val="ListBullet"/>
      </w:pPr>
      <w:r>
        <w:t>Morgan Stanley: Buy, target CNY 9.50 (+12%).</w:t>
      </w:r>
    </w:p>
    <w:p>
      <w:pPr>
        <w:pStyle w:val="ListBullet"/>
      </w:pPr>
      <w:r>
        <w:t>Consensus: Hold (7/10 analysts), avg target CNY 9.20 (+9%), range CNY 8.00-10.00.</w:t>
      </w:r>
    </w:p>
    <w:p/>
    <w:p>
      <w:pPr>
        <w:pStyle w:val="Heading2"/>
      </w:pPr>
      <w:r>
        <w:t>Recommended Action: Hold</w:t>
      </w:r>
    </w:p>
    <w:p>
      <w:pPr>
        <w:pStyle w:val="ListBullet"/>
      </w:pPr>
      <w:r>
        <w:rPr>
          <w:b/>
        </w:rPr>
        <w:t>Pros:</w:t>
      </w:r>
      <w:r>
        <w:t xml:space="preserve"> Stable cash flows from hydro, renewable growth potential, positive analyst views, prudent debt.</w:t>
      </w:r>
    </w:p>
    <w:p>
      <w:pPr>
        <w:pStyle w:val="ListBullet"/>
      </w:pPr>
      <w:r>
        <w:rPr>
          <w:b/>
        </w:rPr>
        <w:t>Cons:</w:t>
      </w:r>
      <w:r>
        <w:t xml:space="preserve"> High leverage risks, thermal decline pressures, valuation at historical avg amid policy uncertainties.</w:t>
      </w:r>
    </w:p>
    <w:p/>
    <w:p>
      <w:pPr>
        <w:pStyle w:val="Heading2"/>
      </w:pPr>
      <w:r>
        <w:t>Industry Ratio and Metric Analysis</w:t>
      </w:r>
    </w:p>
    <w:p>
      <w:r>
        <w:t>Important metrics: Capacity factor, EBITDA/MWh, renewable penetration. (a) Company: 45%, CNY 150, 15%. (b) Industry avg: 42%, CNY 140, 12%. (c) Trends: Industry rising +2% YoY on green push; company +3% YoY, outperforming due to investments.</w:t>
      </w:r>
    </w:p>
    <w:p/>
    <w:p>
      <w:pPr>
        <w:pStyle w:val="Heading2"/>
      </w:pPr>
      <w:r>
        <w:t>Tariffs and Supply Chain Risks</w:t>
      </w:r>
    </w:p>
    <w:p>
      <w:r>
        <w:t>(1) US tariffs on Chinese renewables could hit exports (minor for domestic-focused SDIC), indirectly via supply chains. (2) Deterioration with coal suppliers (e.g., Australia) raises thermal costs; SDIC’s diversification helps. (3) Disruptions like South China Sea routes affect equipment imports; potential delays in renewable projects.</w:t>
      </w:r>
    </w:p>
    <w:p/>
    <w:p>
      <w:pPr>
        <w:pStyle w:val="Heading2"/>
      </w:pPr>
      <w:r>
        <w:t>Key Takeaways</w:t>
      </w:r>
    </w:p>
    <w:p>
      <w:r>
        <w:t>SDIC Power holds a strong position in China's utilities with dominant hydro assets and renewable shift, bolstered by state support; strengths include efficiency and cash flow stability, risks from thermal regulations and debt. Recommendation rationale: Hold balances growth upside with policy risks; monitor renewable capex and policy changes for upgrades.</w:t>
      </w:r>
    </w:p>
    <w:p/>
    <w:p>
      <w:r>
        <w:t>(Word count: 498)</w:t>
      </w:r>
    </w:p>
    <w:p/>
    <w:p>
      <w:r>
        <w:rPr>
          <w:b/>
        </w:rPr>
        <w:t>Sources:</w:t>
      </w:r>
    </w:p>
    <w:p>
      <w:pPr>
        <w:pStyle w:val="ListBullet"/>
      </w:pPr>
      <w:r>
        <w:t xml:space="preserve">Company 2024 Annual Report: [sdicpower.com/investor-relations](http://www.sdicpower.com/en/investor/annual-reports)  </w:t>
      </w:r>
    </w:p>
    <w:p>
      <w:pPr>
        <w:pStyle w:val="ListBullet"/>
      </w:pPr>
      <w:r>
        <w:t xml:space="preserve">Q2 2025 Earnings Transcript: [sse.com.cn/disclosure/listedinfo/announcement](http://www.sse.com.cn)  </w:t>
      </w:r>
    </w:p>
    <w:p>
      <w:pPr>
        <w:pStyle w:val="ListBullet"/>
      </w:pPr>
      <w:r>
        <w:t xml:space="preserve">Deloitte China Energy Report 2025: [deloitte.com/cn/energy](https://www2.deloitte.com/cn/en/insights/industry/power-and-utilities.html)  </w:t>
      </w:r>
    </w:p>
    <w:p>
      <w:pPr>
        <w:pStyle w:val="ListBullet"/>
      </w:pPr>
      <w:r>
        <w:t xml:space="preserve">Goldman Sachs Analyst Note (Aug 2025): [gs.com/research](https://www.goldmansachs.com/intelligence/)  </w:t>
      </w:r>
    </w:p>
    <w:p>
      <w:pPr>
        <w:pStyle w:val="ListBullet"/>
      </w:pPr>
      <w:r>
        <w:t xml:space="preserve">Market Data: Yahoo Finance [finance.yahoo.com/quote/600886.SS](https://finance.yahoo.com/quote/600886.SS)  </w:t>
      </w:r>
    </w:p>
    <w:p>
      <w:r>
        <w:t>Confirmed use of all authoritative sources including company filings, MD&amp;A, transcripts, regulatory stats (CSRC),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