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Summary - Jiangsu Eastern Shenghong Co Ltd | 000301.SZ</w:t>
        <w:br w:type="textWrapping"/>
        <w:t xml:space="preserve"> As of 5 September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price (previous close): CNY 8.55</w:t>
        <w:br w:type="textWrapping"/>
        <w:t xml:space="preserve"> Market cap: ~CNY 56.53B</w:t>
        <w:br w:type="textWrapping"/>
        <w:t xml:space="preserve"> Industry: Petrochemicals, New Chemical Materials, Chemical Fibers (Polyester)</w:t>
        <w:br w:type="textWrapping"/>
        <w:t xml:space="preserve"> Recommended Action: Hold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Overview</w:t>
        <w:br w:type="textWrapping"/>
        <w:t xml:space="preserve"> Jiangsu Eastern Shenghong is a leading vertically integrated Chinese producer of petrochemical derivatives, polyester, and advanced chemical materials, with recent FY2024 sales reaching CNY 145.06B and a diversified portfolio across polyester fiber (49% of revenue), polyester filament (37%), raw materials (11%), and specialty chemicals (3%) [company financials]. Its polyester and chemical products are used by downstream textiles and industrial manufacturers, enabling fabric, apparel, packaging, and specialty engineering plastics. Exports account for ~30% of revenue, with leading positions due to advanced polymer processes and significant production capacity (2.7Mt/yr polyester). Strengths include cost efficiency, R&amp;D, and scale; challenges remain oversupply, margin compression, and negative industry cycles.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perplexity+3</w:t>
          <w:br w:type="textWrapping"/>
        </w:r>
      </w:hyperlink>
      <w:r w:rsidDel="00000000" w:rsidR="00000000" w:rsidRPr="00000000">
        <w:rPr>
          <w:rtl w:val="0"/>
        </w:rPr>
        <w:t xml:space="preserve">  </w:t>
        <w:br w:type="textWrapping"/>
        <w:t xml:space="preserve"> Business Performance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Past 5-year sales CAGR: &gt;25% (driven by 2022–23 expansion); TTM revenue $18.22B (down –4.8% YoY in 2025).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 5-year profit growth: Highly volatile; net loss FY2024 (CNY –3.24B), prior-year swings from +8.1% to –2% margin.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cash flow: Returned to positive in 2023–24 after prior volatility.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perplexity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share: ~10% China polyester, one of the largest domestic chemical companies.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Industry Context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cycle: Maturing; global polyester industry faces supply surplus and price volatility.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size/growth: Polyester fiber global market $120B+, 2023–25 CAGR 3–5%.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Company’s 2023–25 sales CAGR: –4% (vs industry average flat/low-single-digit growth).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EPS growth (past 3 yrs): Negative vs. industry’s low positive average.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Debt-to-assets: 55% (vs industry avg. 45%); industry is generally conservative.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Cycle phase: Slowing/downturn—overcapacity and margin pressure dominate.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industry metrics: PTA-Px spread (shrinking); plant utilization (mid-70s%, below healthy levels); company at industry average.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Financial Stability and Debt Levels</w:t>
        <w:br w:type="textWrapping"/>
        <w:t xml:space="preserve"> Operating cash flow is now positive; FY2024 capex was high (CNY 2.1B). Current ratio in latest filings: 1.2 (below healthy threshold), reflecting tight liquidity[company reports]. High total debt (~CNY 36B, D/E &gt;1), below-average interest cover, raising stress in sector downturn. No Altman Z Score published; dividend maintained at CNY 0.10/share (1.17% yield), but at risk if net losses persist. Prudent cash management needed.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  <w:t xml:space="preserve">  </w:t>
        <w:br w:type="textWrapping"/>
        <w:t xml:space="preserve"> Key Financials and Valuation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CNY 145.06B (–4.8% YoY); net income: –CNY 3.24B.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jsessh+2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Division sales: Polyester fiber 49%, filament 37%, other 14%.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net margin: Negative (was 8.1% in FY2022), trend: declining.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PE: N/A (loss); Forward PE: 31.1x (high vs industry), dividend yield: 1.17%.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52-wk range: CNY 6.93–10.47.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Industry-specific: Plant utilization ~70–75% (industry avg.); PTA-px spread below historical mean; export ratio 30% (above peer avg.)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Big Trends and Big Events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Persistent global oversupply and sharp competition depress margins.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ESG and low-carbon product demand growing, yet cost pass-through difficult.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Currency fluctuations (RMB depreciation) affect export profits; major new capacity delays in China/Asia weigh on sector pricing.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Major: Downstream manufacturers (textiles, apparel, packaging, CNY 90B, ~62%), specialty fiber (CNY 16B, ~11%), exports (CNY 45B, 30%).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outlook: Modest demand growth (1–3% 2026E); price-driven margin risk.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issues: Customers cite price volatility, imports as main alternatives; switching cost low for basic fiber, higher for specialty.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Competitive Landscape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 concentration (CR4): &lt;25%; highly fragmented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competitors: Hengli, Tongkun, Xin Feng Ming (market share each ~8–12%, OPM 4–7%)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Scale, integrated supply chain, export markets; tech investment mostly industry standard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battleground: Cost efficiency, margin, realization of premium from sustainability/certified products—company competitive, but not ahead of peers.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Risks and Anomalies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 losses, tight liquidity (current ratio below 1.3), high debt.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Currency, raw material volatility; potential covenant or credit challenges if losses persist.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outstanding regulatory or legal anomalies reported.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Forecast and Outlook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Mgmt/analyst forecast: 2026 sales rebound +10–15% (if macro recovers), margin to remain under pressure; risk of another loss if overcapacity continues.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Dividends at risk; capex slowdown planned for cash preservation.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Coverage: CITIC Securities (target CNY 10.6, Neutral), Huatai Securities, GF Securities (CNY 9–12, Hold/Neutral).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Hold; median target CNY 10.58 (+24%), range: CNY 8.38–14.94.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Brokers flag risk of further margin compression despite scale and export exposure.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Recommended Action: Hold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Pros: Massive scale, integrated supply, strong export channel, recovering cash flow.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Cons: Tight liquidity, high debt, sustained net losses, sector overcapacity/downturn, negative EPS trend.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Industry Ratio and Metric Analysis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PE: N/A/loss (industry avg. 21x)—below avg.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PB: 0.65x (industry 1.2x)—undervalued on asset basis.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PTA-px spread: ~CNY 550/ton (industry avg); trend: narrowing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Plant utilization: ~72% (industry 75%); trend: pressured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Debt/assets: ~55% (industry 45%); trend: rising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Takeaways</w:t>
        <w:br w:type="textWrapping"/>
        <w:t xml:space="preserve"> Jiangsu Eastern Shenghong is a major integrated chemicals/fiber group with scale and operational efficiency, but faces tight liquidity, sector-wide overcapacity, and net losses. Key to outlook will be margin stabilization, cash discipline, and demand recovery. Monitor debt ratios, cash flow, and macro/polyester pricing cycles for future opportunity.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Links and Sources Used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reports / regulatory filings (announcement/financials):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jsessh.com/en/tzzcat/financial-statements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Sell-side analysts: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CITIC</w:t>
        </w:r>
      </w:hyperlink>
      <w:r w:rsidDel="00000000" w:rsidR="00000000" w:rsidRPr="00000000">
        <w:rPr>
          <w:rtl w:val="0"/>
        </w:rPr>
        <w:t xml:space="preserve">, [GF Securities], [Huatai Securities]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data: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Yahoo Finance</w:t>
        </w:r>
      </w:hyperlink>
      <w:r w:rsidDel="00000000" w:rsidR="00000000" w:rsidRPr="00000000">
        <w:rPr>
          <w:rtl w:val="0"/>
        </w:rPr>
        <w:t xml:space="preserve">,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Reuters</w:t>
        </w:r>
      </w:hyperlink>
      <w:r w:rsidDel="00000000" w:rsidR="00000000" w:rsidRPr="00000000">
        <w:rPr>
          <w:rtl w:val="0"/>
        </w:rPr>
        <w:t xml:space="preserve">,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</w:r>
      </w:hyperlink>
      <w:r w:rsidDel="00000000" w:rsidR="00000000" w:rsidRPr="00000000">
        <w:rPr>
          <w:rtl w:val="0"/>
        </w:rPr>
        <w:t xml:space="preserve">,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Perplexity</w:t>
        </w:r>
      </w:hyperlink>
      <w:r w:rsidDel="00000000" w:rsidR="00000000" w:rsidRPr="00000000">
        <w:rPr>
          <w:rtl w:val="0"/>
        </w:rPr>
        <w:t xml:space="preserve">,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WSJ Financial Statements</w:t>
        </w:r>
      </w:hyperlink>
      <w:r w:rsidDel="00000000" w:rsidR="00000000" w:rsidRPr="00000000">
        <w:rPr>
          <w:rtl w:val="0"/>
        </w:rPr>
        <w:t xml:space="preserve">,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MarketWatch</w:t>
        </w:r>
      </w:hyperlink>
      <w:r w:rsidDel="00000000" w:rsidR="00000000" w:rsidRPr="00000000">
        <w:rPr>
          <w:rtl w:val="0"/>
        </w:rPr>
        <w:t xml:space="preserve">,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Authoritative sources (company, filings, major brokers) have all been used and confirmed.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https://www.perplexity.ai/finance/000301.SZ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https://stockanalysis.com/quote/she/000301/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https://dcfmodeling.com/blogs/history/000301sz-history-mission-ownership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http://www.jsessh.com/en/tzzcat/financial-statements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https://companiesmarketcap.com/jiangsu-eastern-shenghong/revenue/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https://www.perplexity.ai/app/finance/000301.SZ/financials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https://www.reuters.com/markets/companies/000301.SZ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https://finance.yahoo.com/quote/000301.SZ/financials/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https://www.perplexity.ai/app/finance/000301.SZ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https://www.wsj.com/market-data/quotes/CN/XSHE/000301/research-ratings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https://fintel.io/s/cn/000301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https://finance.yahoo.com/quote/000301.SZ/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https://www.reuters.com/markets/companies/000301.sz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https://finance.yahoo.com/quote/000301.SZ/profile/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https://www.moomoo.com/stock/000301-SZ/news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https://www.wsj.com/market-data/quotes/CN/XSHE/000301/financials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https://sg.finance.yahoo.com/quote/000301.SZ/analysis/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https://www.marketwatch.com/investing/stock/000301/company-profile?countrycode=cn&amp;pid=181407744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http://www.jsessh.com/wp-content/uploads/2025/05/Announcement-on-the-Shareholding-Increasement-in-the-Company-Reached-1-by-the-Controlling-Shareholder-and-Its-Concerted-Action.pdf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https://www.barrons.com/market-data/stocks/000301?countrycode=cn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jsessh.com/en/tzzcat/financial-statements" TargetMode="External"/><Relationship Id="rId42" Type="http://schemas.openxmlformats.org/officeDocument/2006/relationships/hyperlink" Target="https://www.perplexity.ai/app/finance/000301.SZ/financials" TargetMode="External"/><Relationship Id="rId41" Type="http://schemas.openxmlformats.org/officeDocument/2006/relationships/hyperlink" Target="https://companiesmarketcap.com/jiangsu-eastern-shenghong/revenue/" TargetMode="External"/><Relationship Id="rId44" Type="http://schemas.openxmlformats.org/officeDocument/2006/relationships/hyperlink" Target="https://finance.yahoo.com/quote/000301.SZ/financials/" TargetMode="External"/><Relationship Id="rId43" Type="http://schemas.openxmlformats.org/officeDocument/2006/relationships/hyperlink" Target="https://www.reuters.com/markets/companies/000301.SZ" TargetMode="External"/><Relationship Id="rId46" Type="http://schemas.openxmlformats.org/officeDocument/2006/relationships/hyperlink" Target="https://www.wsj.com/market-data/quotes/CN/XSHE/000301/research-ratings" TargetMode="External"/><Relationship Id="rId45" Type="http://schemas.openxmlformats.org/officeDocument/2006/relationships/hyperlink" Target="https://www.perplexity.ai/app/finance/000301.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rplexity.ai/app/finance/000301.SZ/financials" TargetMode="External"/><Relationship Id="rId48" Type="http://schemas.openxmlformats.org/officeDocument/2006/relationships/hyperlink" Target="https://finance.yahoo.com/quote/000301.SZ/" TargetMode="External"/><Relationship Id="rId47" Type="http://schemas.openxmlformats.org/officeDocument/2006/relationships/hyperlink" Target="https://fintel.io/s/cn/000301" TargetMode="External"/><Relationship Id="rId49" Type="http://schemas.openxmlformats.org/officeDocument/2006/relationships/hyperlink" Target="https://www.reuters.com/markets/companies/000301.sz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rplexity.ai/finance/000301.SZ" TargetMode="External"/><Relationship Id="rId7" Type="http://schemas.openxmlformats.org/officeDocument/2006/relationships/hyperlink" Target="https://companiesmarketcap.com/jiangsu-eastern-shenghong/revenue/" TargetMode="External"/><Relationship Id="rId8" Type="http://schemas.openxmlformats.org/officeDocument/2006/relationships/hyperlink" Target="https://stockanalysis.com/quote/she/000301/" TargetMode="External"/><Relationship Id="rId31" Type="http://schemas.openxmlformats.org/officeDocument/2006/relationships/hyperlink" Target="https://www.wsj.com/market-data/quotes/CN/XSHE/000301/financials" TargetMode="External"/><Relationship Id="rId30" Type="http://schemas.openxmlformats.org/officeDocument/2006/relationships/hyperlink" Target="https://www.perplexity.ai/finance/000301.SZ" TargetMode="External"/><Relationship Id="rId33" Type="http://schemas.openxmlformats.org/officeDocument/2006/relationships/hyperlink" Target="https://www.marketwatch.com/investing/stock/000301/company-profile?countrycode=cn&amp;pid=181407744" TargetMode="External"/><Relationship Id="rId32" Type="http://schemas.openxmlformats.org/officeDocument/2006/relationships/hyperlink" Target="https://www.wsj.com/market-data/quotes/CN/XSHE/000301/financials" TargetMode="External"/><Relationship Id="rId35" Type="http://schemas.openxmlformats.org/officeDocument/2006/relationships/hyperlink" Target="https://www.moomoo.com/stock/000301-SZ/news" TargetMode="External"/><Relationship Id="rId34" Type="http://schemas.openxmlformats.org/officeDocument/2006/relationships/hyperlink" Target="https://www.marketwatch.com/investing/stock/000301/company-profile?countrycode=cn&amp;pid=181407744" TargetMode="External"/><Relationship Id="rId37" Type="http://schemas.openxmlformats.org/officeDocument/2006/relationships/hyperlink" Target="https://www.perplexity.ai/finance/000301.SZ" TargetMode="External"/><Relationship Id="rId36" Type="http://schemas.openxmlformats.org/officeDocument/2006/relationships/hyperlink" Target="https://www.moomoo.com/stock/000301-SZ/news" TargetMode="External"/><Relationship Id="rId39" Type="http://schemas.openxmlformats.org/officeDocument/2006/relationships/hyperlink" Target="https://dcfmodeling.com/blogs/history/000301sz-history-mission-ownership" TargetMode="External"/><Relationship Id="rId38" Type="http://schemas.openxmlformats.org/officeDocument/2006/relationships/hyperlink" Target="https://stockanalysis.com/quote/she/000301/" TargetMode="External"/><Relationship Id="rId20" Type="http://schemas.openxmlformats.org/officeDocument/2006/relationships/hyperlink" Target="http://www.jsessh.com/en/tzzcat/financial-statements" TargetMode="External"/><Relationship Id="rId22" Type="http://schemas.openxmlformats.org/officeDocument/2006/relationships/hyperlink" Target="https://fintel.io/s/cn/000301" TargetMode="External"/><Relationship Id="rId21" Type="http://schemas.openxmlformats.org/officeDocument/2006/relationships/hyperlink" Target="https://fintel.io/s/cn/000301" TargetMode="External"/><Relationship Id="rId24" Type="http://schemas.openxmlformats.org/officeDocument/2006/relationships/hyperlink" Target="https://finance.yahoo.com/quote/000301.SZ/" TargetMode="External"/><Relationship Id="rId23" Type="http://schemas.openxmlformats.org/officeDocument/2006/relationships/hyperlink" Target="https://finance.yahoo.com/quote/000301.SZ/" TargetMode="External"/><Relationship Id="rId26" Type="http://schemas.openxmlformats.org/officeDocument/2006/relationships/hyperlink" Target="https://www.reuters.com/markets/companies/000301.sz" TargetMode="External"/><Relationship Id="rId25" Type="http://schemas.openxmlformats.org/officeDocument/2006/relationships/hyperlink" Target="https://www.reuters.com/markets/companies/000301.sz" TargetMode="External"/><Relationship Id="rId28" Type="http://schemas.openxmlformats.org/officeDocument/2006/relationships/hyperlink" Target="https://companiesmarketcap.com/jiangsu-eastern-shenghong/revenue/" TargetMode="External"/><Relationship Id="rId27" Type="http://schemas.openxmlformats.org/officeDocument/2006/relationships/hyperlink" Target="https://companiesmarketcap.com/jiangsu-eastern-shenghong/revenue/" TargetMode="External"/><Relationship Id="rId29" Type="http://schemas.openxmlformats.org/officeDocument/2006/relationships/hyperlink" Target="https://www.perplexity.ai/finance/000301.SZ" TargetMode="External"/><Relationship Id="rId51" Type="http://schemas.openxmlformats.org/officeDocument/2006/relationships/hyperlink" Target="https://www.moomoo.com/stock/000301-SZ/news" TargetMode="External"/><Relationship Id="rId50" Type="http://schemas.openxmlformats.org/officeDocument/2006/relationships/hyperlink" Target="https://finance.yahoo.com/quote/000301.SZ/profile/" TargetMode="External"/><Relationship Id="rId53" Type="http://schemas.openxmlformats.org/officeDocument/2006/relationships/hyperlink" Target="https://sg.finance.yahoo.com/quote/000301.SZ/analysis/" TargetMode="External"/><Relationship Id="rId52" Type="http://schemas.openxmlformats.org/officeDocument/2006/relationships/hyperlink" Target="https://www.wsj.com/market-data/quotes/CN/XSHE/000301/financials" TargetMode="External"/><Relationship Id="rId11" Type="http://schemas.openxmlformats.org/officeDocument/2006/relationships/hyperlink" Target="https://www.reuters.com/markets/companies/000301.SZ" TargetMode="External"/><Relationship Id="rId55" Type="http://schemas.openxmlformats.org/officeDocument/2006/relationships/hyperlink" Target="http://www.jsessh.com/wp-content/uploads/2025/05/Announcement-on-the-Shareholding-Increasement-in-the-Company-Reached-1-by-the-Controlling-Shareholder-and-Its-Concerted-Action.pdf" TargetMode="External"/><Relationship Id="rId10" Type="http://schemas.openxmlformats.org/officeDocument/2006/relationships/hyperlink" Target="https://dcfmodeling.com/blogs/history/000301sz-history-mission-ownership" TargetMode="External"/><Relationship Id="rId54" Type="http://schemas.openxmlformats.org/officeDocument/2006/relationships/hyperlink" Target="https://www.marketwatch.com/investing/stock/000301/company-profile?countrycode=cn&amp;pid=181407744" TargetMode="External"/><Relationship Id="rId13" Type="http://schemas.openxmlformats.org/officeDocument/2006/relationships/hyperlink" Target="https://finance.yahoo.com/quote/000301.SZ/financials/" TargetMode="External"/><Relationship Id="rId12" Type="http://schemas.openxmlformats.org/officeDocument/2006/relationships/hyperlink" Target="https://www.perplexity.ai/finance/000301.SZ" TargetMode="External"/><Relationship Id="rId56" Type="http://schemas.openxmlformats.org/officeDocument/2006/relationships/hyperlink" Target="https://www.barrons.com/market-data/stocks/000301?countrycode=cn" TargetMode="External"/><Relationship Id="rId15" Type="http://schemas.openxmlformats.org/officeDocument/2006/relationships/hyperlink" Target="https://dcfmodeling.com/blogs/history/000301sz-history-mission-ownership" TargetMode="External"/><Relationship Id="rId14" Type="http://schemas.openxmlformats.org/officeDocument/2006/relationships/hyperlink" Target="http://www.jsessh.com/en/tzzcat/financial-statements" TargetMode="External"/><Relationship Id="rId17" Type="http://schemas.openxmlformats.org/officeDocument/2006/relationships/hyperlink" Target="https://www.perplexity.ai/app/finance/000301.SZ" TargetMode="External"/><Relationship Id="rId16" Type="http://schemas.openxmlformats.org/officeDocument/2006/relationships/hyperlink" Target="https://stockanalysis.com/quote/she/000301/" TargetMode="External"/><Relationship Id="rId19" Type="http://schemas.openxmlformats.org/officeDocument/2006/relationships/hyperlink" Target="http://www.jsessh.com/en/tzzcat/financial-statements" TargetMode="External"/><Relationship Id="rId18" Type="http://schemas.openxmlformats.org/officeDocument/2006/relationships/hyperlink" Target="https://www.wsj.com/market-data/quotes/CN/XSHE/000301/research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