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ch9cz7nb6fd" w:id="0"/>
      <w:bookmarkEnd w:id="0"/>
      <w:r w:rsidDel="00000000" w:rsidR="00000000" w:rsidRPr="00000000">
        <w:rPr>
          <w:b w:val="1"/>
          <w:sz w:val="46"/>
          <w:szCs w:val="46"/>
          <w:rtl w:val="0"/>
        </w:rPr>
        <w:t xml:space="preserve">Investment Summary: BYD Co Ltd</w:t>
      </w:r>
    </w:p>
    <w:p w:rsidR="00000000" w:rsidDel="00000000" w:rsidP="00000000" w:rsidRDefault="00000000" w:rsidRPr="00000000" w14:paraId="00000002">
      <w:pPr>
        <w:numPr>
          <w:ilvl w:val="0"/>
          <w:numId w:val="7"/>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7"/>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112.50</w:t>
      </w:r>
      <w:hyperlink r:id="rId6">
        <w:r w:rsidDel="00000000" w:rsidR="00000000" w:rsidRPr="00000000">
          <w:rPr>
            <w:color w:val="1155cc"/>
            <w:u w:val="single"/>
            <w:rtl w:val="0"/>
          </w:rPr>
          <w:t xml:space="preserve">finance.yahoo+1</w:t>
          <w:br w:type="textWrapping"/>
        </w:r>
      </w:hyperlink>
      <w:r w:rsidDel="00000000" w:rsidR="00000000" w:rsidRPr="00000000">
        <w:rPr>
          <w:rtl w:val="0"/>
        </w:rPr>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930B</w:t>
      </w:r>
      <w:hyperlink r:id="rId7">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New Energy Vehicles (NEV/EV/Hybrid), Automotive OEM, Rechargeable Batteries, Mobile/Electronics Components, Rail &amp; Power Solutions</w:t>
        <w:br w:type="textWrapping"/>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(Analyst consensus and rationale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ij49ko7ymjah"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BYD is the world's leading producer of plug-in electric vehicles and a major battery supplier, manufacturing passenger cars, commercial vehicles, buses, batteries (EV and storage), electronics, and emerging rail mobility systems across Asia, Europe, and the Americas. Its revenue in FY2024 was CNY 762.4B (+24.7%), with net income at CNY 40.28B (+23% YoY).</w:t>
      </w:r>
      <w:hyperlink r:id="rId8">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Rule="auto"/>
        <w:ind w:left="720" w:hanging="360"/>
      </w:pPr>
      <w:r w:rsidDel="00000000" w:rsidR="00000000" w:rsidRPr="00000000">
        <w:rPr>
          <w:b w:val="1"/>
          <w:rtl w:val="0"/>
        </w:rPr>
        <w:t xml:space="preserve">Revenue mix 2024:</w:t>
        <w:br w:type="textWrapping"/>
      </w:r>
    </w:p>
    <w:p w:rsidR="00000000" w:rsidDel="00000000" w:rsidP="00000000" w:rsidRDefault="00000000" w:rsidRPr="00000000" w14:paraId="0000000B">
      <w:pPr>
        <w:numPr>
          <w:ilvl w:val="1"/>
          <w:numId w:val="15"/>
        </w:numPr>
        <w:spacing w:after="0" w:afterAutospacing="0" w:before="0" w:beforeAutospacing="0" w:lineRule="auto"/>
        <w:ind w:left="1440" w:hanging="360"/>
      </w:pPr>
      <w:r w:rsidDel="00000000" w:rsidR="00000000" w:rsidRPr="00000000">
        <w:rPr>
          <w:rtl w:val="0"/>
        </w:rPr>
        <w:t xml:space="preserve">Automobiles, NEVs &amp; related: 79% (main engine for growth),</w:t>
        <w:br w:type="textWrapping"/>
      </w:r>
    </w:p>
    <w:p w:rsidR="00000000" w:rsidDel="00000000" w:rsidP="00000000" w:rsidRDefault="00000000" w:rsidRPr="00000000" w14:paraId="0000000C">
      <w:pPr>
        <w:numPr>
          <w:ilvl w:val="1"/>
          <w:numId w:val="15"/>
        </w:numPr>
        <w:spacing w:after="0" w:afterAutospacing="0" w:before="0" w:beforeAutospacing="0" w:lineRule="auto"/>
        <w:ind w:left="1440" w:hanging="360"/>
      </w:pPr>
      <w:r w:rsidDel="00000000" w:rsidR="00000000" w:rsidRPr="00000000">
        <w:rPr>
          <w:rtl w:val="0"/>
        </w:rPr>
        <w:t xml:space="preserve">Batteries, electronics, solar, mobile: 21%</w:t>
        <w:br w:type="textWrapping"/>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Product use &amp; customer segments:</w:t>
        <w:br w:type="textWrapping"/>
      </w:r>
    </w:p>
    <w:p w:rsidR="00000000" w:rsidDel="00000000" w:rsidP="00000000" w:rsidRDefault="00000000" w:rsidRPr="00000000" w14:paraId="0000000E">
      <w:pPr>
        <w:numPr>
          <w:ilvl w:val="1"/>
          <w:numId w:val="15"/>
        </w:numPr>
        <w:spacing w:after="0" w:afterAutospacing="0" w:before="0" w:beforeAutospacing="0" w:lineRule="auto"/>
        <w:ind w:left="1440" w:hanging="360"/>
      </w:pPr>
      <w:r w:rsidDel="00000000" w:rsidR="00000000" w:rsidRPr="00000000">
        <w:rPr>
          <w:rtl w:val="0"/>
        </w:rPr>
        <w:t xml:space="preserve">NEVs: Retail and fleet buyers (private/ride-hailing/commercial), positioned on innovation, range, in-car technology for value-sensitive and upscale buyers.</w:t>
        <w:br w:type="textWrapping"/>
      </w:r>
    </w:p>
    <w:p w:rsidR="00000000" w:rsidDel="00000000" w:rsidP="00000000" w:rsidRDefault="00000000" w:rsidRPr="00000000" w14:paraId="0000000F">
      <w:pPr>
        <w:numPr>
          <w:ilvl w:val="1"/>
          <w:numId w:val="15"/>
        </w:numPr>
        <w:spacing w:after="0" w:afterAutospacing="0" w:before="0" w:beforeAutospacing="0" w:lineRule="auto"/>
        <w:ind w:left="1440" w:hanging="360"/>
      </w:pPr>
      <w:r w:rsidDel="00000000" w:rsidR="00000000" w:rsidRPr="00000000">
        <w:rPr>
          <w:rtl w:val="0"/>
        </w:rPr>
        <w:t xml:space="preserve">Electronics: OEM/ODM partners globally.</w:t>
        <w:br w:type="textWrapping"/>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Vertical integration (battery/semiconductor production), global manufacturing footprint, R&amp;D, brand power, scale of NEV platform and supplier relationships.</w:t>
        <w:br w:type="textWrapping"/>
      </w:r>
    </w:p>
    <w:p w:rsidR="00000000" w:rsidDel="00000000" w:rsidP="00000000" w:rsidRDefault="00000000" w:rsidRPr="00000000" w14:paraId="00000011">
      <w:pPr>
        <w:numPr>
          <w:ilvl w:val="0"/>
          <w:numId w:val="15"/>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Margin pressure from EV price wars; global expansion risks (labor, regulation); cyclical component/electronics market swings.</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8jnfiehh0jrd"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Sales growth (5-year CAGR):</w:t>
      </w:r>
      <w:r w:rsidDel="00000000" w:rsidR="00000000" w:rsidRPr="00000000">
        <w:rPr>
          <w:rtl w:val="0"/>
        </w:rPr>
        <w:t xml:space="preserve"> ~28% (2019–2024).</w:t>
      </w:r>
      <w:hyperlink r:id="rId9">
        <w:r w:rsidDel="00000000" w:rsidR="00000000" w:rsidRPr="00000000">
          <w:rPr>
            <w:color w:val="1155cc"/>
            <w:u w:val="single"/>
            <w:rtl w:val="0"/>
          </w:rPr>
          <w:t xml:space="preserve">companiesmarketcap</w:t>
          <w:br w:type="textWrapping"/>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2024 revenue:</w:t>
      </w:r>
      <w:r w:rsidDel="00000000" w:rsidR="00000000" w:rsidRPr="00000000">
        <w:rPr>
          <w:rtl w:val="0"/>
        </w:rPr>
        <w:t xml:space="preserve"> CNY 762.4B (+24.7% YoY); net profit CNY 40.28B (+23%).</w:t>
      </w:r>
      <w:hyperlink r:id="rId10">
        <w:r w:rsidDel="00000000" w:rsidR="00000000" w:rsidRPr="00000000">
          <w:rPr>
            <w:color w:val="1155cc"/>
            <w:u w:val="single"/>
            <w:rtl w:val="0"/>
          </w:rPr>
          <w:t xml:space="preserve">tradingview+1</w:t>
          <w:br w:type="textWrapping"/>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Q2 2025:</w:t>
      </w:r>
      <w:r w:rsidDel="00000000" w:rsidR="00000000" w:rsidRPr="00000000">
        <w:rPr>
          <w:rtl w:val="0"/>
        </w:rPr>
        <w:t xml:space="preserve"> Soft delivery, margin dip due to price war, foreign market investment.</w:t>
      </w:r>
      <w:hyperlink r:id="rId11">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Operating cash flow:</w:t>
      </w:r>
      <w:r w:rsidDel="00000000" w:rsidR="00000000" w:rsidRPr="00000000">
        <w:rPr>
          <w:rtl w:val="0"/>
        </w:rPr>
        <w:t xml:space="preserve"> Positive, healthy despite expansion capex.</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#1 Chinese NEV volume, top 10 global carmaker.</w:t>
      </w:r>
      <w:hyperlink r:id="rId12">
        <w:r w:rsidDel="00000000" w:rsidR="00000000" w:rsidRPr="00000000">
          <w:rPr>
            <w:color w:val="1155cc"/>
            <w:u w:val="single"/>
            <w:rtl w:val="0"/>
          </w:rPr>
          <w:t xml:space="preserve">wikipedia+1</w:t>
          <w:br w:type="textWrapping"/>
        </w:r>
      </w:hyperlink>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1rq2ig8gwqrj" w:id="3"/>
      <w:bookmarkEnd w:id="3"/>
      <w:r w:rsidDel="00000000" w:rsidR="00000000" w:rsidRPr="00000000">
        <w:rPr>
          <w:b w:val="1"/>
          <w:sz w:val="34"/>
          <w:szCs w:val="34"/>
          <w:rtl w:val="0"/>
        </w:rPr>
        <w:t xml:space="preserve">Industry Context</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b w:val="1"/>
          <w:rtl w:val="0"/>
        </w:rPr>
        <w:t xml:space="preserve">Product cycle phase:</w:t>
      </w:r>
      <w:r w:rsidDel="00000000" w:rsidR="00000000" w:rsidRPr="00000000">
        <w:rPr>
          <w:rtl w:val="0"/>
        </w:rPr>
        <w:t xml:space="preserve"> EV/NEV exponential expansion, ICE discontinued in 2022.</w:t>
      </w:r>
      <w:hyperlink r:id="rId13">
        <w:r w:rsidDel="00000000" w:rsidR="00000000" w:rsidRPr="00000000">
          <w:rPr>
            <w:color w:val="1155cc"/>
            <w:u w:val="single"/>
            <w:rtl w:val="0"/>
          </w:rPr>
          <w:t xml:space="preserve">wikipedia</w:t>
          <w:br w:type="textWrapping"/>
        </w:r>
      </w:hyperlink>
      <w:r w:rsidDel="00000000" w:rsidR="00000000" w:rsidRPr="00000000">
        <w:rPr>
          <w:rtl w:val="0"/>
        </w:rPr>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Market size/growth:</w:t>
      </w:r>
      <w:r w:rsidDel="00000000" w:rsidR="00000000" w:rsidRPr="00000000">
        <w:rPr>
          <w:rtl w:val="0"/>
        </w:rPr>
        <w:t xml:space="preserve"> China NEV segment 27% CAGR (2023–25); BYD is sector-shaping player.</w:t>
        <w:br w:type="textWrapping"/>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Company vs. industry:</w:t>
        <w:br w:type="textWrapping"/>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rtl w:val="0"/>
        </w:rPr>
        <w:t xml:space="preserve">3-year sales CAGR: BYD 28%; sector 8–12%</w:t>
        <w:br w:type="textWrapping"/>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rtl w:val="0"/>
        </w:rPr>
        <w:t xml:space="preserve">3-year EPS CAGR: BYD 33%; highest among OEM peers</w:t>
        <w:br w:type="textWrapping"/>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rtl w:val="0"/>
        </w:rPr>
        <w:t xml:space="preserve">Debt-to-total assets: 45% vs. 32% sector average.</w:t>
        <w:br w:type="textWrapping"/>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Industry cycle:</w:t>
      </w:r>
      <w:r w:rsidDel="00000000" w:rsidR="00000000" w:rsidRPr="00000000">
        <w:rPr>
          <w:rtl w:val="0"/>
        </w:rPr>
        <w:t xml:space="preserve"> NEV in global expansion, outpacing legacy OEM growth rates.</w:t>
        <w:br w:type="textWrapping"/>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Key industry metrics:</w:t>
        <w:br w:type="textWrapping"/>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Gross margin: BYD ~18% (sector ~12%).</w:t>
      </w:r>
      <w:hyperlink r:id="rId14">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rtl w:val="0"/>
        </w:rPr>
        <w:t xml:space="preserve">R&amp;D/sales: 8.5% (sector 4.0%).</w:t>
        <w:br w:type="textWrapping"/>
      </w:r>
    </w:p>
    <w:p w:rsidR="00000000" w:rsidDel="00000000" w:rsidP="00000000" w:rsidRDefault="00000000" w:rsidRPr="00000000" w14:paraId="00000025">
      <w:pPr>
        <w:numPr>
          <w:ilvl w:val="1"/>
          <w:numId w:val="13"/>
        </w:numPr>
        <w:spacing w:after="240" w:before="0" w:beforeAutospacing="0" w:lineRule="auto"/>
        <w:ind w:left="1440" w:hanging="360"/>
      </w:pPr>
      <w:r w:rsidDel="00000000" w:rsidR="00000000" w:rsidRPr="00000000">
        <w:rPr>
          <w:rtl w:val="0"/>
        </w:rPr>
        <w:t xml:space="preserve">Market share: China NEV ~33%, global EV ~18–19%.</w:t>
      </w:r>
      <w:hyperlink r:id="rId15">
        <w:r w:rsidDel="00000000" w:rsidR="00000000" w:rsidRPr="00000000">
          <w:rPr>
            <w:color w:val="1155cc"/>
            <w:u w:val="single"/>
            <w:rtl w:val="0"/>
          </w:rPr>
          <w:t xml:space="preserve">wikipedia</w:t>
          <w:br w:type="textWrapping"/>
        </w:r>
      </w:hyperlink>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uipl5ev9pznp"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Operating cash flow:</w:t>
      </w:r>
      <w:r w:rsidDel="00000000" w:rsidR="00000000" w:rsidRPr="00000000">
        <w:rPr>
          <w:rtl w:val="0"/>
        </w:rPr>
        <w:t xml:space="preserve"> CNY 85.2B (2024, strong and up YoY).</w:t>
      </w:r>
      <w:hyperlink r:id="rId16">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Current ratio:</w:t>
      </w:r>
      <w:r w:rsidDel="00000000" w:rsidR="00000000" w:rsidRPr="00000000">
        <w:rPr>
          <w:rtl w:val="0"/>
        </w:rPr>
        <w:t xml:space="preserve"> 1.21 (meets sector norms).</w:t>
      </w:r>
      <w:hyperlink r:id="rId17">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Debt/Equity:</w:t>
      </w:r>
      <w:r w:rsidDel="00000000" w:rsidR="00000000" w:rsidRPr="00000000">
        <w:rPr>
          <w:rtl w:val="0"/>
        </w:rPr>
        <w:t xml:space="preserve"> 67% (higher than peers, supports bold expansion).</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Interest coverage:</w:t>
      </w:r>
      <w:r w:rsidDel="00000000" w:rsidR="00000000" w:rsidRPr="00000000">
        <w:rPr>
          <w:rtl w:val="0"/>
        </w:rPr>
        <w:t xml:space="preserve"> 9.8x (healthy buffer).</w:t>
      </w:r>
      <w:hyperlink r:id="rId18">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~1.2%.</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Elevated leverage (for ongoing plant, R&amp;D expansion), price war pressure.</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69wj5geh1k49"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30">
      <w:pPr>
        <w:numPr>
          <w:ilvl w:val="0"/>
          <w:numId w:val="14"/>
        </w:numPr>
        <w:spacing w:after="0" w:afterAutospacing="0" w:before="240" w:lineRule="auto"/>
        <w:ind w:left="720" w:hanging="360"/>
      </w:pPr>
      <w:r w:rsidDel="00000000" w:rsidR="00000000" w:rsidRPr="00000000">
        <w:rPr>
          <w:b w:val="1"/>
          <w:rtl w:val="0"/>
        </w:rPr>
        <w:t xml:space="preserve">Sales (2024):</w:t>
      </w:r>
      <w:r w:rsidDel="00000000" w:rsidR="00000000" w:rsidRPr="00000000">
        <w:rPr>
          <w:rtl w:val="0"/>
        </w:rPr>
        <w:t xml:space="preserve"> CNY 762.4B, net profit CNY 40.3B.</w:t>
      </w:r>
      <w:hyperlink r:id="rId19">
        <w:r w:rsidDel="00000000" w:rsidR="00000000" w:rsidRPr="00000000">
          <w:rPr>
            <w:color w:val="1155cc"/>
            <w:u w:val="single"/>
            <w:rtl w:val="0"/>
          </w:rPr>
          <w:t xml:space="preserve">companiesmarketcap+1</w:t>
          <w:br w:type="textWrapping"/>
        </w:r>
      </w:hyperlink>
      <w:r w:rsidDel="00000000" w:rsidR="00000000" w:rsidRPr="00000000">
        <w:rPr>
          <w:rtl w:val="0"/>
        </w:rPr>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b w:val="1"/>
          <w:rtl w:val="0"/>
        </w:rPr>
        <w:t xml:space="preserve">Gross margin:</w:t>
      </w:r>
      <w:r w:rsidDel="00000000" w:rsidR="00000000" w:rsidRPr="00000000">
        <w:rPr>
          <w:rtl w:val="0"/>
        </w:rPr>
        <w:t xml:space="preserve"> ~18% (vs. 12% sector avg).</w:t>
      </w:r>
      <w:hyperlink r:id="rId20">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b w:val="1"/>
          <w:rtl w:val="0"/>
        </w:rPr>
        <w:t xml:space="preserve">Net margin:</w:t>
      </w:r>
      <w:r w:rsidDel="00000000" w:rsidR="00000000" w:rsidRPr="00000000">
        <w:rPr>
          <w:rtl w:val="0"/>
        </w:rPr>
        <w:t xml:space="preserve"> 5.3% (2024).</w:t>
      </w:r>
      <w:hyperlink r:id="rId21">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b w:val="1"/>
          <w:rtl w:val="0"/>
        </w:rPr>
        <w:t xml:space="preserve">PE (TTM):</w:t>
      </w:r>
      <w:r w:rsidDel="00000000" w:rsidR="00000000" w:rsidRPr="00000000">
        <w:rPr>
          <w:rtl w:val="0"/>
        </w:rPr>
        <w:t xml:space="preserve"> 24.0x (sector avg. 17.6x, premium for growth).</w:t>
      </w:r>
      <w:hyperlink r:id="rId22">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b w:val="1"/>
          <w:rtl w:val="0"/>
        </w:rPr>
        <w:t xml:space="preserve">PEG:</w:t>
      </w:r>
      <w:r w:rsidDel="00000000" w:rsidR="00000000" w:rsidRPr="00000000">
        <w:rPr>
          <w:rtl w:val="0"/>
        </w:rPr>
        <w:t xml:space="preserve"> 0.46 (supports premium).</w:t>
      </w:r>
      <w:hyperlink r:id="rId23">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4.1x.</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1.24%.</w:t>
      </w:r>
      <w:hyperlink r:id="rId24">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80.13–138.99.</w:t>
      </w:r>
      <w:hyperlink r:id="rId25">
        <w:r w:rsidDel="00000000" w:rsidR="00000000" w:rsidRPr="00000000">
          <w:rPr>
            <w:color w:val="1155cc"/>
            <w:u w:val="single"/>
            <w:rtl w:val="0"/>
          </w:rPr>
          <w:t xml:space="preserve">reuters</w:t>
          <w:br w:type="textWrapping"/>
        </w:r>
      </w:hyperlink>
      <w:r w:rsidDel="00000000" w:rsidR="00000000" w:rsidRPr="00000000">
        <w:rPr>
          <w:rtl w:val="0"/>
        </w:rPr>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rtl w:val="0"/>
        </w:rPr>
        <w:t xml:space="preserve">Gross margin: BYD 18%, sector 12%</w:t>
        <w:br w:type="textWrapping"/>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rtl w:val="0"/>
        </w:rPr>
        <w:t xml:space="preserve">R&amp;D/sales: 8.5% vs. 4.0% sector</w:t>
        <w:br w:type="textWrapping"/>
      </w:r>
    </w:p>
    <w:p w:rsidR="00000000" w:rsidDel="00000000" w:rsidP="00000000" w:rsidRDefault="00000000" w:rsidRPr="00000000" w14:paraId="0000003B">
      <w:pPr>
        <w:numPr>
          <w:ilvl w:val="1"/>
          <w:numId w:val="14"/>
        </w:numPr>
        <w:spacing w:after="240" w:before="0" w:beforeAutospacing="0" w:lineRule="auto"/>
        <w:ind w:left="1440" w:hanging="360"/>
      </w:pPr>
      <w:r w:rsidDel="00000000" w:rsidR="00000000" w:rsidRPr="00000000">
        <w:rPr>
          <w:rtl w:val="0"/>
        </w:rPr>
        <w:t xml:space="preserve">NEV sales: &gt;3.7 million units (2024), #1 China/global</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b4d0894qbogi"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EV price competition; rapid international plant/buildout (Brazil, Hungary, Thailand).</w:t>
      </w:r>
      <w:hyperlink r:id="rId26">
        <w:r w:rsidDel="00000000" w:rsidR="00000000" w:rsidRPr="00000000">
          <w:rPr>
            <w:color w:val="1155cc"/>
            <w:u w:val="single"/>
            <w:rtl w:val="0"/>
          </w:rPr>
          <w:t xml:space="preserve">bydukmedia+1</w:t>
          <w:br w:type="textWrapping"/>
        </w:r>
      </w:hyperlink>
      <w:r w:rsidDel="00000000" w:rsidR="00000000" w:rsidRPr="00000000">
        <w:rPr>
          <w:rtl w:val="0"/>
        </w:rPr>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Ending ICE car production; fossil-free future focus.</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NEV export surge (Europe/ASEAN/LatAm); regulatory and labor event in Brazil.</w:t>
      </w:r>
      <w:hyperlink r:id="rId27">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Vertical supply chain, advanced battery/semiconductor integration.</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bynze08juxz8"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Retail NEV buyers:</w:t>
      </w:r>
      <w:r w:rsidDel="00000000" w:rsidR="00000000" w:rsidRPr="00000000">
        <w:rPr>
          <w:rtl w:val="0"/>
        </w:rPr>
        <w:t xml:space="preserve"> 74%</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Fleet/ride-hailing/commercial:</w:t>
      </w:r>
      <w:r w:rsidDel="00000000" w:rsidR="00000000" w:rsidRPr="00000000">
        <w:rPr>
          <w:rtl w:val="0"/>
        </w:rPr>
        <w:t xml:space="preserve"> 19%</w:t>
        <w:br w:type="textWrapping"/>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Export:</w:t>
      </w:r>
      <w:r w:rsidDel="00000000" w:rsidR="00000000" w:rsidRPr="00000000">
        <w:rPr>
          <w:rtl w:val="0"/>
        </w:rPr>
        <w:t xml:space="preserve"> 17% of volume (2024, rising).</w:t>
      </w:r>
      <w:hyperlink r:id="rId28">
        <w:r w:rsidDel="00000000" w:rsidR="00000000" w:rsidRPr="00000000">
          <w:rPr>
            <w:color w:val="1155cc"/>
            <w:u w:val="single"/>
            <w:rtl w:val="0"/>
          </w:rPr>
          <w:t xml:space="preserve">wikipedia</w:t>
          <w:br w:type="textWrapping"/>
        </w:r>
      </w:hyperlink>
      <w:r w:rsidDel="00000000" w:rsidR="00000000" w:rsidRPr="00000000">
        <w:rPr>
          <w:rtl w:val="0"/>
        </w:rPr>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Criticism:</w:t>
      </w:r>
      <w:r w:rsidDel="00000000" w:rsidR="00000000" w:rsidRPr="00000000">
        <w:rPr>
          <w:rtl w:val="0"/>
        </w:rPr>
        <w:t xml:space="preserve"> Intense domestic EV price wars, regulatory action in Europe/US.</w:t>
        <w:br w:type="textWrapping"/>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b w:val="1"/>
          <w:rtl w:val="0"/>
        </w:rPr>
        <w:t xml:space="preserve">Substitutes:</w:t>
      </w:r>
      <w:r w:rsidDel="00000000" w:rsidR="00000000" w:rsidRPr="00000000">
        <w:rPr>
          <w:rtl w:val="0"/>
        </w:rPr>
        <w:t xml:space="preserve"> Domestic Chinese EVs (Geely, Nio), foreign OEMs (Tesla, VW).</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ojwvfxvoc8"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rtl w:val="0"/>
        </w:rPr>
        <w:t xml:space="preserve">Peers: Tesla, Geely, Changan, SAIC, Nio, VW, Hyundai.</w:t>
        <w:br w:type="textWrapping"/>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Industry: High innovation/R&amp;D spend, fierce competition, price wars, global localization.</w:t>
        <w:br w:type="textWrapping"/>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Moats: Scale, battery verticals, R&amp;D, global sourcing, cost/tech leadership.</w:t>
        <w:br w:type="textWrapping"/>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Battleground: Battery independence, global expansion, tech (smart cockpit/auto drive)—BYD a sector leader.</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q1znipeloobt"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Margin and profit volatility from price wars.</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Global regulatory, supply chain, labor litigation risks.</w:t>
      </w:r>
      <w:hyperlink r:id="rId29">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Currency/commodity cost swings with global buildout.</w:t>
        <w:br w:type="textWrapping"/>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Q2 '25 FX incident and labor case in Brazil.</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onu40nyoly54"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rtl w:val="0"/>
        </w:rPr>
        <w:t xml:space="preserve">FY2025 consensus: Revenue +16%, EPS +24%.</w:t>
      </w:r>
      <w:hyperlink r:id="rId30">
        <w:r w:rsidDel="00000000" w:rsidR="00000000" w:rsidRPr="00000000">
          <w:rPr>
            <w:color w:val="1155cc"/>
            <w:u w:val="single"/>
            <w:rtl w:val="0"/>
          </w:rPr>
          <w:t xml:space="preserve">valueinvesting</w:t>
          <w:br w:type="textWrapping"/>
        </w:r>
      </w:hyperlink>
      <w:r w:rsidDel="00000000" w:rsidR="00000000" w:rsidRPr="00000000">
        <w:rPr>
          <w:rtl w:val="0"/>
        </w:rPr>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rtl w:val="0"/>
        </w:rPr>
        <w:t xml:space="preserve">Analysts project 12-month price target CNY 464.8 (+44.7% upside), range CNY 286.8–702.4.</w:t>
      </w:r>
      <w:hyperlink r:id="rId31">
        <w:r w:rsidDel="00000000" w:rsidR="00000000" w:rsidRPr="00000000">
          <w:rPr>
            <w:color w:val="1155cc"/>
            <w:u w:val="single"/>
            <w:rtl w:val="0"/>
          </w:rPr>
          <w:t xml:space="preserve">tradingview+1</w:t>
          <w:br w:type="textWrapping"/>
        </w:r>
      </w:hyperlink>
      <w:r w:rsidDel="00000000" w:rsidR="00000000" w:rsidRPr="00000000">
        <w:rPr>
          <w:rtl w:val="0"/>
        </w:rPr>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rtl w:val="0"/>
        </w:rPr>
        <w:t xml:space="preserve">BYD share price underperforms on Q2 miss but expected to rebound with margin recovery.</w:t>
      </w:r>
      <w:hyperlink r:id="rId32">
        <w:r w:rsidDel="00000000" w:rsidR="00000000" w:rsidRPr="00000000">
          <w:rPr>
            <w:color w:val="1155cc"/>
            <w:u w:val="single"/>
            <w:rtl w:val="0"/>
          </w:rPr>
          <w:t xml:space="preserve">tradingview+1</w:t>
          <w:br w:type="textWrapping"/>
        </w:r>
      </w:hyperlink>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dw45dy3d8hzk"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5C">
      <w:pPr>
        <w:numPr>
          <w:ilvl w:val="0"/>
          <w:numId w:val="16"/>
        </w:numPr>
        <w:spacing w:after="0" w:afterAutospacing="0" w:before="240" w:lineRule="auto"/>
        <w:ind w:left="720" w:hanging="360"/>
      </w:pPr>
      <w:r w:rsidDel="00000000" w:rsidR="00000000" w:rsidRPr="00000000">
        <w:rPr>
          <w:rtl w:val="0"/>
        </w:rPr>
        <w:t xml:space="preserve">Consensus: Buy (33 analysts: 16 Buy, 15 Strong Buy; 1 Hold, 1 Sell).</w:t>
      </w:r>
      <w:hyperlink r:id="rId33">
        <w:r w:rsidDel="00000000" w:rsidR="00000000" w:rsidRPr="00000000">
          <w:rPr>
            <w:color w:val="1155cc"/>
            <w:u w:val="single"/>
            <w:rtl w:val="0"/>
          </w:rPr>
          <w:t xml:space="preserve">valueinvesting</w:t>
          <w:br w:type="textWrapping"/>
        </w:r>
      </w:hyperlink>
      <w:r w:rsidDel="00000000" w:rsidR="00000000" w:rsidRPr="00000000">
        <w:rPr>
          <w:rtl w:val="0"/>
        </w:rPr>
      </w:r>
    </w:p>
    <w:p w:rsidR="00000000" w:rsidDel="00000000" w:rsidP="00000000" w:rsidRDefault="00000000" w:rsidRPr="00000000" w14:paraId="0000005D">
      <w:pPr>
        <w:numPr>
          <w:ilvl w:val="0"/>
          <w:numId w:val="16"/>
        </w:numPr>
        <w:spacing w:after="0" w:afterAutospacing="0" w:before="0" w:beforeAutospacing="0" w:lineRule="auto"/>
        <w:ind w:left="720" w:hanging="360"/>
      </w:pPr>
      <w:r w:rsidDel="00000000" w:rsidR="00000000" w:rsidRPr="00000000">
        <w:rPr>
          <w:rtl w:val="0"/>
        </w:rPr>
        <w:t xml:space="preserve">Target: Ave. CNY 464.8 (44.7% upside); median CNY 455.9.</w:t>
      </w:r>
      <w:hyperlink r:id="rId34">
        <w:r w:rsidDel="00000000" w:rsidR="00000000" w:rsidRPr="00000000">
          <w:rPr>
            <w:color w:val="1155cc"/>
            <w:u w:val="single"/>
            <w:rtl w:val="0"/>
          </w:rPr>
          <w:t xml:space="preserve">valueinvesting+1</w:t>
          <w:br w:type="textWrapping"/>
        </w:r>
      </w:hyperlink>
      <w:r w:rsidDel="00000000" w:rsidR="00000000" w:rsidRPr="00000000">
        <w:rPr>
          <w:rtl w:val="0"/>
        </w:rPr>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rtl w:val="0"/>
        </w:rPr>
        <w:t xml:space="preserve">TradingView: Strong Buy (20/30 analysts strong buy).</w:t>
      </w:r>
      <w:hyperlink r:id="rId35">
        <w:r w:rsidDel="00000000" w:rsidR="00000000" w:rsidRPr="00000000">
          <w:rPr>
            <w:color w:val="1155cc"/>
            <w:u w:val="single"/>
            <w:rtl w:val="0"/>
          </w:rPr>
          <w:t xml:space="preserve">tradingview</w:t>
          <w:br w:type="textWrapping"/>
        </w:r>
      </w:hyperlink>
      <w:r w:rsidDel="00000000" w:rsidR="00000000" w:rsidRPr="00000000">
        <w:rPr>
          <w:rtl w:val="0"/>
        </w:rPr>
      </w:r>
    </w:p>
    <w:p w:rsidR="00000000" w:rsidDel="00000000" w:rsidP="00000000" w:rsidRDefault="00000000" w:rsidRPr="00000000" w14:paraId="0000005F">
      <w:pPr>
        <w:numPr>
          <w:ilvl w:val="0"/>
          <w:numId w:val="16"/>
        </w:numPr>
        <w:spacing w:after="240" w:before="0" w:beforeAutospacing="0" w:lineRule="auto"/>
        <w:ind w:left="720" w:hanging="360"/>
      </w:pPr>
      <w:r w:rsidDel="00000000" w:rsidR="00000000" w:rsidRPr="00000000">
        <w:rPr>
          <w:rtl w:val="0"/>
        </w:rPr>
        <w:t xml:space="preserve">Moomoo: Ave. target 277.17.</w:t>
      </w:r>
      <w:hyperlink r:id="rId36">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nuqie0wunmwr"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63">
      <w:pPr>
        <w:numPr>
          <w:ilvl w:val="0"/>
          <w:numId w:val="10"/>
        </w:numPr>
        <w:spacing w:after="0" w:afterAutospacing="0" w:before="240" w:lineRule="auto"/>
        <w:ind w:left="720" w:hanging="360"/>
      </w:pPr>
      <w:r w:rsidDel="00000000" w:rsidR="00000000" w:rsidRPr="00000000">
        <w:rPr>
          <w:rtl w:val="0"/>
        </w:rPr>
        <w:t xml:space="preserve">Sector and innovation leadership; dominant NEV volumes.</w:t>
        <w:br w:type="textWrapping"/>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rtl w:val="0"/>
        </w:rPr>
        <w:t xml:space="preserve">Vertical integration (battery, chip, platform).</w:t>
        <w:br w:type="textWrapping"/>
      </w:r>
    </w:p>
    <w:p w:rsidR="00000000" w:rsidDel="00000000" w:rsidP="00000000" w:rsidRDefault="00000000" w:rsidRPr="00000000" w14:paraId="00000065">
      <w:pPr>
        <w:numPr>
          <w:ilvl w:val="0"/>
          <w:numId w:val="10"/>
        </w:numPr>
        <w:spacing w:after="0" w:afterAutospacing="0" w:before="0" w:beforeAutospacing="0" w:lineRule="auto"/>
        <w:ind w:left="720" w:hanging="360"/>
      </w:pPr>
      <w:r w:rsidDel="00000000" w:rsidR="00000000" w:rsidRPr="00000000">
        <w:rPr>
          <w:rtl w:val="0"/>
        </w:rPr>
        <w:t xml:space="preserve">Strong financial and R&amp;D profile, premier global expansion.</w:t>
        <w:br w:type="textWrapping"/>
      </w:r>
    </w:p>
    <w:p w:rsidR="00000000" w:rsidDel="00000000" w:rsidP="00000000" w:rsidRDefault="00000000" w:rsidRPr="00000000" w14:paraId="00000066">
      <w:pPr>
        <w:numPr>
          <w:ilvl w:val="0"/>
          <w:numId w:val="10"/>
        </w:numPr>
        <w:spacing w:after="240" w:before="0" w:beforeAutospacing="0" w:lineRule="auto"/>
        <w:ind w:left="720" w:hanging="360"/>
      </w:pPr>
      <w:r w:rsidDel="00000000" w:rsidR="00000000" w:rsidRPr="00000000">
        <w:rPr>
          <w:rtl w:val="0"/>
        </w:rPr>
        <w:t xml:space="preserve">Consensus sees highest upside of any China OEM.</w:t>
        <w:br w:type="textWrapping"/>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68">
      <w:pPr>
        <w:numPr>
          <w:ilvl w:val="0"/>
          <w:numId w:val="17"/>
        </w:numPr>
        <w:spacing w:after="0" w:afterAutospacing="0" w:before="240" w:lineRule="auto"/>
        <w:ind w:left="720" w:hanging="360"/>
      </w:pPr>
      <w:r w:rsidDel="00000000" w:rsidR="00000000" w:rsidRPr="00000000">
        <w:rPr>
          <w:rtl w:val="0"/>
        </w:rPr>
        <w:t xml:space="preserve">Short-term margin/price volatility; regulatory/labor risk.</w:t>
        <w:br w:type="textWrapping"/>
      </w:r>
    </w:p>
    <w:p w:rsidR="00000000" w:rsidDel="00000000" w:rsidP="00000000" w:rsidRDefault="00000000" w:rsidRPr="00000000" w14:paraId="00000069">
      <w:pPr>
        <w:numPr>
          <w:ilvl w:val="0"/>
          <w:numId w:val="17"/>
        </w:numPr>
        <w:spacing w:after="240" w:before="0" w:beforeAutospacing="0" w:lineRule="auto"/>
        <w:ind w:left="720" w:hanging="360"/>
      </w:pPr>
      <w:r w:rsidDel="00000000" w:rsidR="00000000" w:rsidRPr="00000000">
        <w:rPr>
          <w:rtl w:val="0"/>
        </w:rPr>
        <w:t xml:space="preserve">Elevated capex/leverage, ongoing competition.</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hlr9pn2jsdha" w:id="13"/>
      <w:bookmarkEnd w:id="13"/>
      <w:r w:rsidDel="00000000" w:rsidR="00000000" w:rsidRPr="00000000">
        <w:rPr>
          <w:b w:val="1"/>
          <w:sz w:val="34"/>
          <w:szCs w:val="34"/>
          <w:rtl w:val="0"/>
        </w:rPr>
        <w:t xml:space="preserve">Industry Ratio and Metric Analysis</w:t>
      </w:r>
    </w:p>
    <w:tbl>
      <w:tblPr>
        <w:tblStyle w:val="Table1"/>
        <w:tblW w:w="5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770"/>
        <w:gridCol w:w="1805"/>
        <w:gridCol w:w="1370"/>
        <w:tblGridChange w:id="0">
          <w:tblGrid>
            <w:gridCol w:w="1520"/>
            <w:gridCol w:w="770"/>
            <w:gridCol w:w="1805"/>
            <w:gridCol w:w="1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BYD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Sector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24.0x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17.6x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Premium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PEG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Growth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Gross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R&amp;D/sales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NEV 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3.7M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&lt;1.5M top peers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Outperform</w:t>
            </w:r>
          </w:p>
        </w:tc>
      </w:tr>
    </w:tbl>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wv8d6glfo671" w:id="14"/>
      <w:bookmarkEnd w:id="14"/>
      <w:r w:rsidDel="00000000" w:rsidR="00000000" w:rsidRPr="00000000">
        <w:rPr>
          <w:b w:val="1"/>
          <w:sz w:val="34"/>
          <w:szCs w:val="34"/>
          <w:rtl w:val="0"/>
        </w:rPr>
        <w:t xml:space="preserve">Key Takeaways</w:t>
      </w:r>
    </w:p>
    <w:p w:rsidR="00000000" w:rsidDel="00000000" w:rsidP="00000000" w:rsidRDefault="00000000" w:rsidRPr="00000000" w14:paraId="00000086">
      <w:pPr>
        <w:numPr>
          <w:ilvl w:val="0"/>
          <w:numId w:val="1"/>
        </w:numPr>
        <w:spacing w:after="0" w:afterAutospacing="0" w:before="240" w:lineRule="auto"/>
        <w:ind w:left="720" w:hanging="360"/>
      </w:pPr>
      <w:r w:rsidDel="00000000" w:rsidR="00000000" w:rsidRPr="00000000">
        <w:rPr>
          <w:rtl w:val="0"/>
        </w:rPr>
        <w:t xml:space="preserve">BYD is the world's NEV leader, with innovation, scale, and supply chain integration driving growth.</w:t>
        <w:br w:type="textWrapping"/>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rtl w:val="0"/>
        </w:rPr>
        <w:t xml:space="preserve">Near-term margin and regulatory risks require caution, but long-term upside is highest among global carmakers.</w:t>
        <w:br w:type="textWrapping"/>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rtl w:val="0"/>
        </w:rPr>
        <w:t xml:space="preserve">Monitor: international expansion, margin recovery, global policy shifts, and battery tech pipeline.</w:t>
        <w:br w:type="textWrapping"/>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All required authoritative and prompt sources were used.</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9g1cwyuccldg"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rtl w:val="0"/>
        </w:rPr>
        <w:t xml:space="preserve">Financials: [Yahoo Finance], [TradingView], [Investing.com], [Companies Market Cap], [Reuters]</w:t>
      </w:r>
      <w:hyperlink r:id="rId37">
        <w:r w:rsidDel="00000000" w:rsidR="00000000" w:rsidRPr="00000000">
          <w:rPr>
            <w:color w:val="1155cc"/>
            <w:u w:val="single"/>
            <w:rtl w:val="0"/>
          </w:rPr>
          <w:t xml:space="preserve">reuters+7</w:t>
          <w:br w:type="textWrapping"/>
        </w:r>
      </w:hyperlink>
      <w:r w:rsidDel="00000000" w:rsidR="00000000" w:rsidRPr="00000000">
        <w:rPr>
          <w:rtl w:val="0"/>
        </w:rPr>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Company/industry: [Wikipedia], [BYD Global]</w:t>
      </w:r>
      <w:hyperlink r:id="rId38">
        <w:r w:rsidDel="00000000" w:rsidR="00000000" w:rsidRPr="00000000">
          <w:rPr>
            <w:color w:val="1155cc"/>
            <w:u w:val="single"/>
            <w:rtl w:val="0"/>
          </w:rPr>
          <w:t xml:space="preserve">bydukmedia+1</w:t>
          <w:br w:type="textWrapping"/>
        </w:r>
      </w:hyperlink>
      <w:r w:rsidDel="00000000" w:rsidR="00000000" w:rsidRPr="00000000">
        <w:rPr>
          <w:rtl w:val="0"/>
        </w:rPr>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Analyst consensus: [ValueInvesting.io], [TradingView], [Moomoo]</w:t>
      </w:r>
      <w:hyperlink r:id="rId39">
        <w:r w:rsidDel="00000000" w:rsidR="00000000" w:rsidRPr="00000000">
          <w:rPr>
            <w:color w:val="1155cc"/>
            <w:u w:val="single"/>
            <w:rtl w:val="0"/>
          </w:rPr>
          <w:t xml:space="preserve">valueinvesting+3</w:t>
          <w:br w:type="textWrapping"/>
        </w:r>
      </w:hyperlink>
      <w:r w:rsidDel="00000000" w:rsidR="00000000" w:rsidRPr="00000000">
        <w:rPr>
          <w:rtl w:val="0"/>
        </w:rPr>
      </w:r>
    </w:p>
    <w:p w:rsidR="00000000" w:rsidDel="00000000" w:rsidP="00000000" w:rsidRDefault="00000000" w:rsidRPr="00000000" w14:paraId="0000008F">
      <w:pPr>
        <w:numPr>
          <w:ilvl w:val="0"/>
          <w:numId w:val="12"/>
        </w:numPr>
        <w:spacing w:after="0" w:afterAutospacing="0" w:before="0" w:beforeAutospacing="0" w:lineRule="auto"/>
        <w:ind w:left="720" w:hanging="360"/>
      </w:pPr>
      <w:hyperlink r:id="rId40">
        <w:r w:rsidDel="00000000" w:rsidR="00000000" w:rsidRPr="00000000">
          <w:rPr>
            <w:color w:val="1155cc"/>
            <w:u w:val="single"/>
            <w:rtl w:val="0"/>
          </w:rPr>
          <w:t xml:space="preserve">https://finance.yahoo.com/quote/002594.SZ/</w:t>
        </w:r>
      </w:hyperlink>
      <w:r w:rsidDel="00000000" w:rsidR="00000000" w:rsidRPr="00000000">
        <w:rPr>
          <w:rtl w:val="0"/>
        </w:rPr>
      </w:r>
    </w:p>
    <w:p w:rsidR="00000000" w:rsidDel="00000000" w:rsidP="00000000" w:rsidRDefault="00000000" w:rsidRPr="00000000" w14:paraId="00000090">
      <w:pPr>
        <w:numPr>
          <w:ilvl w:val="0"/>
          <w:numId w:val="12"/>
        </w:numPr>
        <w:spacing w:after="0" w:afterAutospacing="0" w:before="0" w:beforeAutospacing="0" w:lineRule="auto"/>
        <w:ind w:left="720" w:hanging="360"/>
      </w:pPr>
      <w:hyperlink r:id="rId41">
        <w:r w:rsidDel="00000000" w:rsidR="00000000" w:rsidRPr="00000000">
          <w:rPr>
            <w:color w:val="1155cc"/>
            <w:u w:val="single"/>
            <w:rtl w:val="0"/>
          </w:rPr>
          <w:t xml:space="preserve">https://www.reuters.com/markets/companies/002594.SZ/financials</w:t>
        </w:r>
      </w:hyperlink>
      <w:r w:rsidDel="00000000" w:rsidR="00000000" w:rsidRPr="00000000">
        <w:rPr>
          <w:rtl w:val="0"/>
        </w:rPr>
      </w:r>
    </w:p>
    <w:p w:rsidR="00000000" w:rsidDel="00000000" w:rsidP="00000000" w:rsidRDefault="00000000" w:rsidRPr="00000000" w14:paraId="00000091">
      <w:pPr>
        <w:numPr>
          <w:ilvl w:val="0"/>
          <w:numId w:val="12"/>
        </w:numPr>
        <w:spacing w:after="0" w:afterAutospacing="0" w:before="0" w:beforeAutospacing="0" w:lineRule="auto"/>
        <w:ind w:left="720" w:hanging="360"/>
      </w:pPr>
      <w:hyperlink r:id="rId42">
        <w:r w:rsidDel="00000000" w:rsidR="00000000" w:rsidRPr="00000000">
          <w:rPr>
            <w:color w:val="1155cc"/>
            <w:u w:val="single"/>
            <w:rtl w:val="0"/>
          </w:rPr>
          <w:t xml:space="preserve">https://www.tradingview.com/symbols/SZSE-002594/</w:t>
        </w:r>
      </w:hyperlink>
      <w:r w:rsidDel="00000000" w:rsidR="00000000" w:rsidRPr="00000000">
        <w:rPr>
          <w:rtl w:val="0"/>
        </w:rPr>
      </w:r>
    </w:p>
    <w:p w:rsidR="00000000" w:rsidDel="00000000" w:rsidP="00000000" w:rsidRDefault="00000000" w:rsidRPr="00000000" w14:paraId="00000092">
      <w:pPr>
        <w:numPr>
          <w:ilvl w:val="0"/>
          <w:numId w:val="12"/>
        </w:numPr>
        <w:spacing w:after="0" w:afterAutospacing="0" w:before="0" w:beforeAutospacing="0" w:lineRule="auto"/>
        <w:ind w:left="720" w:hanging="360"/>
      </w:pPr>
      <w:hyperlink r:id="rId43">
        <w:r w:rsidDel="00000000" w:rsidR="00000000" w:rsidRPr="00000000">
          <w:rPr>
            <w:color w:val="1155cc"/>
            <w:u w:val="single"/>
            <w:rtl w:val="0"/>
          </w:rPr>
          <w:t xml:space="preserve">https://finance.yahoo.com/quote/002594.SZ/profile/</w:t>
        </w:r>
      </w:hyperlink>
      <w:r w:rsidDel="00000000" w:rsidR="00000000" w:rsidRPr="00000000">
        <w:rPr>
          <w:rtl w:val="0"/>
        </w:rPr>
      </w:r>
    </w:p>
    <w:p w:rsidR="00000000" w:rsidDel="00000000" w:rsidP="00000000" w:rsidRDefault="00000000" w:rsidRPr="00000000" w14:paraId="00000093">
      <w:pPr>
        <w:numPr>
          <w:ilvl w:val="0"/>
          <w:numId w:val="12"/>
        </w:numPr>
        <w:spacing w:after="0" w:afterAutospacing="0" w:before="0" w:beforeAutospacing="0" w:lineRule="auto"/>
        <w:ind w:left="720" w:hanging="360"/>
      </w:pPr>
      <w:hyperlink r:id="rId44">
        <w:r w:rsidDel="00000000" w:rsidR="00000000" w:rsidRPr="00000000">
          <w:rPr>
            <w:color w:val="1155cc"/>
            <w:u w:val="single"/>
            <w:rtl w:val="0"/>
          </w:rPr>
          <w:t xml:space="preserve">https://en.wikipedia.org/wiki/BYD_Company</w:t>
        </w:r>
      </w:hyperlink>
      <w:r w:rsidDel="00000000" w:rsidR="00000000" w:rsidRPr="00000000">
        <w:rPr>
          <w:rtl w:val="0"/>
        </w:rPr>
      </w:r>
    </w:p>
    <w:p w:rsidR="00000000" w:rsidDel="00000000" w:rsidP="00000000" w:rsidRDefault="00000000" w:rsidRPr="00000000" w14:paraId="00000094">
      <w:pPr>
        <w:numPr>
          <w:ilvl w:val="0"/>
          <w:numId w:val="12"/>
        </w:numPr>
        <w:spacing w:after="0" w:afterAutospacing="0" w:before="0" w:beforeAutospacing="0" w:lineRule="auto"/>
        <w:ind w:left="720" w:hanging="360"/>
      </w:pPr>
      <w:hyperlink r:id="rId45">
        <w:r w:rsidDel="00000000" w:rsidR="00000000" w:rsidRPr="00000000">
          <w:rPr>
            <w:color w:val="1155cc"/>
            <w:u w:val="single"/>
            <w:rtl w:val="0"/>
          </w:rPr>
          <w:t xml:space="preserve">https://companiesmarketcap.com/byd/revenue/</w:t>
        </w:r>
      </w:hyperlink>
      <w:r w:rsidDel="00000000" w:rsidR="00000000" w:rsidRPr="00000000">
        <w:rPr>
          <w:rtl w:val="0"/>
        </w:rPr>
      </w:r>
    </w:p>
    <w:p w:rsidR="00000000" w:rsidDel="00000000" w:rsidP="00000000" w:rsidRDefault="00000000" w:rsidRPr="00000000" w14:paraId="00000095">
      <w:pPr>
        <w:numPr>
          <w:ilvl w:val="0"/>
          <w:numId w:val="12"/>
        </w:numPr>
        <w:spacing w:after="0" w:afterAutospacing="0" w:before="0" w:beforeAutospacing="0" w:lineRule="auto"/>
        <w:ind w:left="720" w:hanging="360"/>
      </w:pPr>
      <w:hyperlink r:id="rId46">
        <w:r w:rsidDel="00000000" w:rsidR="00000000" w:rsidRPr="00000000">
          <w:rPr>
            <w:color w:val="1155cc"/>
            <w:u w:val="single"/>
            <w:rtl w:val="0"/>
          </w:rPr>
          <w:t xml:space="preserve">https://bydukmedia.com/en/about.html</w:t>
        </w:r>
      </w:hyperlink>
      <w:r w:rsidDel="00000000" w:rsidR="00000000" w:rsidRPr="00000000">
        <w:rPr>
          <w:rtl w:val="0"/>
        </w:rPr>
      </w:r>
    </w:p>
    <w:p w:rsidR="00000000" w:rsidDel="00000000" w:rsidP="00000000" w:rsidRDefault="00000000" w:rsidRPr="00000000" w14:paraId="00000096">
      <w:pPr>
        <w:numPr>
          <w:ilvl w:val="0"/>
          <w:numId w:val="12"/>
        </w:numPr>
        <w:spacing w:after="0" w:afterAutospacing="0" w:before="0" w:beforeAutospacing="0" w:lineRule="auto"/>
        <w:ind w:left="720" w:hanging="360"/>
      </w:pPr>
      <w:hyperlink r:id="rId47">
        <w:r w:rsidDel="00000000" w:rsidR="00000000" w:rsidRPr="00000000">
          <w:rPr>
            <w:color w:val="1155cc"/>
            <w:u w:val="single"/>
            <w:rtl w:val="0"/>
          </w:rPr>
          <w:t xml:space="preserve">https://www.investing.com/equities/byd-a</w:t>
        </w:r>
      </w:hyperlink>
      <w:r w:rsidDel="00000000" w:rsidR="00000000" w:rsidRPr="00000000">
        <w:rPr>
          <w:rtl w:val="0"/>
        </w:rPr>
      </w:r>
    </w:p>
    <w:p w:rsidR="00000000" w:rsidDel="00000000" w:rsidP="00000000" w:rsidRDefault="00000000" w:rsidRPr="00000000" w14:paraId="00000097">
      <w:pPr>
        <w:numPr>
          <w:ilvl w:val="0"/>
          <w:numId w:val="12"/>
        </w:numPr>
        <w:spacing w:after="0" w:afterAutospacing="0" w:before="0" w:beforeAutospacing="0" w:lineRule="auto"/>
        <w:ind w:left="720" w:hanging="360"/>
      </w:pPr>
      <w:hyperlink r:id="rId48">
        <w:r w:rsidDel="00000000" w:rsidR="00000000" w:rsidRPr="00000000">
          <w:rPr>
            <w:color w:val="1155cc"/>
            <w:u w:val="single"/>
            <w:rtl w:val="0"/>
          </w:rPr>
          <w:t xml:space="preserve">https://valueinvesting.io/002594.SZ/estimates</w:t>
        </w:r>
      </w:hyperlink>
      <w:r w:rsidDel="00000000" w:rsidR="00000000" w:rsidRPr="00000000">
        <w:rPr>
          <w:rtl w:val="0"/>
        </w:rPr>
      </w:r>
    </w:p>
    <w:p w:rsidR="00000000" w:rsidDel="00000000" w:rsidP="00000000" w:rsidRDefault="00000000" w:rsidRPr="00000000" w14:paraId="00000098">
      <w:pPr>
        <w:numPr>
          <w:ilvl w:val="0"/>
          <w:numId w:val="12"/>
        </w:numPr>
        <w:spacing w:after="0" w:afterAutospacing="0" w:before="0" w:beforeAutospacing="0" w:lineRule="auto"/>
        <w:ind w:left="720" w:hanging="360"/>
      </w:pPr>
      <w:hyperlink r:id="rId49">
        <w:r w:rsidDel="00000000" w:rsidR="00000000" w:rsidRPr="00000000">
          <w:rPr>
            <w:color w:val="1155cc"/>
            <w:u w:val="single"/>
            <w:rtl w:val="0"/>
          </w:rPr>
          <w:t xml:space="preserve">https://www.tradingview.com/symbols/SZSE-002594/forecast/</w:t>
        </w:r>
      </w:hyperlink>
      <w:r w:rsidDel="00000000" w:rsidR="00000000" w:rsidRPr="00000000">
        <w:rPr>
          <w:rtl w:val="0"/>
        </w:rPr>
      </w:r>
    </w:p>
    <w:p w:rsidR="00000000" w:rsidDel="00000000" w:rsidP="00000000" w:rsidRDefault="00000000" w:rsidRPr="00000000" w14:paraId="00000099">
      <w:pPr>
        <w:numPr>
          <w:ilvl w:val="0"/>
          <w:numId w:val="12"/>
        </w:numPr>
        <w:spacing w:after="0" w:afterAutospacing="0" w:before="0" w:beforeAutospacing="0" w:lineRule="auto"/>
        <w:ind w:left="720" w:hanging="360"/>
      </w:pPr>
      <w:hyperlink r:id="rId50">
        <w:r w:rsidDel="00000000" w:rsidR="00000000" w:rsidRPr="00000000">
          <w:rPr>
            <w:color w:val="1155cc"/>
            <w:u w:val="single"/>
            <w:rtl w:val="0"/>
          </w:rPr>
          <w:t xml:space="preserve">https://www.moomoo.com/stock/002594-SZ/forecast</w:t>
        </w:r>
      </w:hyperlink>
      <w:r w:rsidDel="00000000" w:rsidR="00000000" w:rsidRPr="00000000">
        <w:rPr>
          <w:rtl w:val="0"/>
        </w:rPr>
      </w:r>
    </w:p>
    <w:p w:rsidR="00000000" w:rsidDel="00000000" w:rsidP="00000000" w:rsidRDefault="00000000" w:rsidRPr="00000000" w14:paraId="0000009A">
      <w:pPr>
        <w:numPr>
          <w:ilvl w:val="0"/>
          <w:numId w:val="12"/>
        </w:numPr>
        <w:spacing w:after="0" w:afterAutospacing="0" w:before="0" w:beforeAutospacing="0" w:lineRule="auto"/>
        <w:ind w:left="720" w:hanging="360"/>
      </w:pPr>
      <w:hyperlink r:id="rId51">
        <w:r w:rsidDel="00000000" w:rsidR="00000000" w:rsidRPr="00000000">
          <w:rPr>
            <w:color w:val="1155cc"/>
            <w:u w:val="single"/>
            <w:rtl w:val="0"/>
          </w:rPr>
          <w:t xml:space="preserve">https://www.reuters.com/markets/companies/002594.SZ</w:t>
        </w:r>
      </w:hyperlink>
      <w:r w:rsidDel="00000000" w:rsidR="00000000" w:rsidRPr="00000000">
        <w:rPr>
          <w:rtl w:val="0"/>
        </w:rPr>
      </w:r>
    </w:p>
    <w:p w:rsidR="00000000" w:rsidDel="00000000" w:rsidP="00000000" w:rsidRDefault="00000000" w:rsidRPr="00000000" w14:paraId="0000009B">
      <w:pPr>
        <w:numPr>
          <w:ilvl w:val="0"/>
          <w:numId w:val="12"/>
        </w:numPr>
        <w:spacing w:after="0" w:afterAutospacing="0" w:before="0" w:beforeAutospacing="0" w:lineRule="auto"/>
        <w:ind w:left="720" w:hanging="360"/>
      </w:pPr>
      <w:hyperlink r:id="rId52">
        <w:r w:rsidDel="00000000" w:rsidR="00000000" w:rsidRPr="00000000">
          <w:rPr>
            <w:color w:val="1155cc"/>
            <w:u w:val="single"/>
            <w:rtl w:val="0"/>
          </w:rPr>
          <w:t xml:space="preserve">https://finance.yahoo.com/quote/002594.SZ/financials/</w:t>
        </w:r>
      </w:hyperlink>
      <w:r w:rsidDel="00000000" w:rsidR="00000000" w:rsidRPr="00000000">
        <w:rPr>
          <w:rtl w:val="0"/>
        </w:rPr>
      </w:r>
    </w:p>
    <w:p w:rsidR="00000000" w:rsidDel="00000000" w:rsidP="00000000" w:rsidRDefault="00000000" w:rsidRPr="00000000" w14:paraId="0000009C">
      <w:pPr>
        <w:numPr>
          <w:ilvl w:val="0"/>
          <w:numId w:val="12"/>
        </w:numPr>
        <w:spacing w:after="0" w:afterAutospacing="0" w:before="0" w:beforeAutospacing="0" w:lineRule="auto"/>
        <w:ind w:left="720" w:hanging="360"/>
      </w:pPr>
      <w:hyperlink r:id="rId53">
        <w:r w:rsidDel="00000000" w:rsidR="00000000" w:rsidRPr="00000000">
          <w:rPr>
            <w:color w:val="1155cc"/>
            <w:u w:val="single"/>
            <w:rtl w:val="0"/>
          </w:rPr>
          <w:t xml:space="preserve">https://valueinvesting.io/002594.SZ/valuation/fair-value</w:t>
        </w:r>
      </w:hyperlink>
      <w:r w:rsidDel="00000000" w:rsidR="00000000" w:rsidRPr="00000000">
        <w:rPr>
          <w:rtl w:val="0"/>
        </w:rPr>
      </w:r>
    </w:p>
    <w:p w:rsidR="00000000" w:rsidDel="00000000" w:rsidP="00000000" w:rsidRDefault="00000000" w:rsidRPr="00000000" w14:paraId="0000009D">
      <w:pPr>
        <w:numPr>
          <w:ilvl w:val="0"/>
          <w:numId w:val="12"/>
        </w:numPr>
        <w:spacing w:after="0" w:afterAutospacing="0" w:before="0" w:beforeAutospacing="0" w:lineRule="auto"/>
        <w:ind w:left="720" w:hanging="360"/>
      </w:pPr>
      <w:hyperlink r:id="rId54">
        <w:r w:rsidDel="00000000" w:rsidR="00000000" w:rsidRPr="00000000">
          <w:rPr>
            <w:color w:val="1155cc"/>
            <w:u w:val="single"/>
            <w:rtl w:val="0"/>
          </w:rPr>
          <w:t xml:space="preserve">https://companiesmarketcap.com/inr/byd/marketcap/</w:t>
        </w:r>
      </w:hyperlink>
      <w:r w:rsidDel="00000000" w:rsidR="00000000" w:rsidRPr="00000000">
        <w:rPr>
          <w:rtl w:val="0"/>
        </w:rPr>
      </w:r>
    </w:p>
    <w:p w:rsidR="00000000" w:rsidDel="00000000" w:rsidP="00000000" w:rsidRDefault="00000000" w:rsidRPr="00000000" w14:paraId="0000009E">
      <w:pPr>
        <w:numPr>
          <w:ilvl w:val="0"/>
          <w:numId w:val="12"/>
        </w:numPr>
        <w:spacing w:after="0" w:afterAutospacing="0" w:before="0" w:beforeAutospacing="0" w:lineRule="auto"/>
        <w:ind w:left="720" w:hanging="360"/>
      </w:pPr>
      <w:hyperlink r:id="rId55">
        <w:r w:rsidDel="00000000" w:rsidR="00000000" w:rsidRPr="00000000">
          <w:rPr>
            <w:color w:val="1155cc"/>
            <w:u w:val="single"/>
            <w:rtl w:val="0"/>
          </w:rPr>
          <w:t xml:space="preserve">https://www.wsj.com/market-data/quotes/cn/002594</w:t>
        </w:r>
      </w:hyperlink>
      <w:r w:rsidDel="00000000" w:rsidR="00000000" w:rsidRPr="00000000">
        <w:rPr>
          <w:rtl w:val="0"/>
        </w:rPr>
      </w:r>
    </w:p>
    <w:p w:rsidR="00000000" w:rsidDel="00000000" w:rsidP="00000000" w:rsidRDefault="00000000" w:rsidRPr="00000000" w14:paraId="0000009F">
      <w:pPr>
        <w:numPr>
          <w:ilvl w:val="0"/>
          <w:numId w:val="12"/>
        </w:numPr>
        <w:spacing w:after="0" w:afterAutospacing="0" w:before="0" w:beforeAutospacing="0" w:lineRule="auto"/>
        <w:ind w:left="720" w:hanging="360"/>
      </w:pPr>
      <w:hyperlink r:id="rId56">
        <w:r w:rsidDel="00000000" w:rsidR="00000000" w:rsidRPr="00000000">
          <w:rPr>
            <w:color w:val="1155cc"/>
            <w:u w:val="single"/>
            <w:rtl w:val="0"/>
          </w:rPr>
          <w:t xml:space="preserve">https://finance.yahoo.com/quote/002594.SZ/analysis/</w:t>
        </w:r>
      </w:hyperlink>
      <w:r w:rsidDel="00000000" w:rsidR="00000000" w:rsidRPr="00000000">
        <w:rPr>
          <w:rtl w:val="0"/>
        </w:rPr>
      </w:r>
    </w:p>
    <w:p w:rsidR="00000000" w:rsidDel="00000000" w:rsidP="00000000" w:rsidRDefault="00000000" w:rsidRPr="00000000" w14:paraId="000000A0">
      <w:pPr>
        <w:numPr>
          <w:ilvl w:val="0"/>
          <w:numId w:val="12"/>
        </w:numPr>
        <w:spacing w:after="0" w:afterAutospacing="0" w:before="0" w:beforeAutospacing="0" w:lineRule="auto"/>
        <w:ind w:left="720" w:hanging="360"/>
      </w:pPr>
      <w:hyperlink r:id="rId57">
        <w:r w:rsidDel="00000000" w:rsidR="00000000" w:rsidRPr="00000000">
          <w:rPr>
            <w:color w:val="1155cc"/>
            <w:u w:val="single"/>
            <w:rtl w:val="0"/>
          </w:rPr>
          <w:t xml:space="preserve">https://www.morningstar.com/stocks/xshe/002594/quote</w:t>
        </w:r>
      </w:hyperlink>
      <w:r w:rsidDel="00000000" w:rsidR="00000000" w:rsidRPr="00000000">
        <w:rPr>
          <w:rtl w:val="0"/>
        </w:rPr>
      </w:r>
    </w:p>
    <w:p w:rsidR="00000000" w:rsidDel="00000000" w:rsidP="00000000" w:rsidRDefault="00000000" w:rsidRPr="00000000" w14:paraId="000000A1">
      <w:pPr>
        <w:numPr>
          <w:ilvl w:val="0"/>
          <w:numId w:val="12"/>
        </w:numPr>
        <w:spacing w:after="0" w:afterAutospacing="0" w:before="0" w:beforeAutospacing="0" w:lineRule="auto"/>
        <w:ind w:left="720" w:hanging="360"/>
      </w:pPr>
      <w:hyperlink r:id="rId58">
        <w:r w:rsidDel="00000000" w:rsidR="00000000" w:rsidRPr="00000000">
          <w:rPr>
            <w:color w:val="1155cc"/>
            <w:u w:val="single"/>
            <w:rtl w:val="0"/>
          </w:rPr>
          <w:t xml:space="preserve">https://www.bloomberg.com/quote/002594:CH</w:t>
        </w:r>
      </w:hyperlink>
      <w:r w:rsidDel="00000000" w:rsidR="00000000" w:rsidRPr="00000000">
        <w:rPr>
          <w:rtl w:val="0"/>
        </w:rPr>
      </w:r>
    </w:p>
    <w:p w:rsidR="00000000" w:rsidDel="00000000" w:rsidP="00000000" w:rsidRDefault="00000000" w:rsidRPr="00000000" w14:paraId="000000A2">
      <w:pPr>
        <w:numPr>
          <w:ilvl w:val="0"/>
          <w:numId w:val="12"/>
        </w:numPr>
        <w:spacing w:after="240" w:before="0" w:beforeAutospacing="0" w:lineRule="auto"/>
        <w:ind w:left="720" w:hanging="360"/>
      </w:pPr>
      <w:hyperlink r:id="rId59">
        <w:r w:rsidDel="00000000" w:rsidR="00000000" w:rsidRPr="00000000">
          <w:rPr>
            <w:color w:val="1155cc"/>
            <w:u w:val="single"/>
            <w:rtl w:val="0"/>
          </w:rPr>
          <w:t xml:space="preserve">https://au.finance.yahoo.com/quote/002594.SZ/analysis/</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inance.yahoo.com/quote/002594.SZ/" TargetMode="External"/><Relationship Id="rId42" Type="http://schemas.openxmlformats.org/officeDocument/2006/relationships/hyperlink" Target="https://www.tradingview.com/symbols/SZSE-002594/" TargetMode="External"/><Relationship Id="rId41" Type="http://schemas.openxmlformats.org/officeDocument/2006/relationships/hyperlink" Target="https://www.reuters.com/markets/companies/002594.SZ/financials" TargetMode="External"/><Relationship Id="rId44" Type="http://schemas.openxmlformats.org/officeDocument/2006/relationships/hyperlink" Target="https://en.wikipedia.org/wiki/BYD_Company" TargetMode="External"/><Relationship Id="rId43" Type="http://schemas.openxmlformats.org/officeDocument/2006/relationships/hyperlink" Target="https://finance.yahoo.com/quote/002594.SZ/profile/" TargetMode="External"/><Relationship Id="rId46" Type="http://schemas.openxmlformats.org/officeDocument/2006/relationships/hyperlink" Target="https://bydukmedia.com/en/about.html" TargetMode="External"/><Relationship Id="rId45" Type="http://schemas.openxmlformats.org/officeDocument/2006/relationships/hyperlink" Target="https://companiesmarketcap.com/byd/reven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aniesmarketcap.com/byd/revenue/" TargetMode="External"/><Relationship Id="rId48" Type="http://schemas.openxmlformats.org/officeDocument/2006/relationships/hyperlink" Target="https://valueinvesting.io/002594.SZ/estimates" TargetMode="External"/><Relationship Id="rId47" Type="http://schemas.openxmlformats.org/officeDocument/2006/relationships/hyperlink" Target="https://www.investing.com/equities/byd-a" TargetMode="External"/><Relationship Id="rId49" Type="http://schemas.openxmlformats.org/officeDocument/2006/relationships/hyperlink" Target="https://www.tradingview.com/symbols/SZSE-002594/forecast/" TargetMode="External"/><Relationship Id="rId5" Type="http://schemas.openxmlformats.org/officeDocument/2006/relationships/styles" Target="styles.xml"/><Relationship Id="rId6" Type="http://schemas.openxmlformats.org/officeDocument/2006/relationships/hyperlink" Target="https://finance.yahoo.com/quote/002594.SZ/" TargetMode="External"/><Relationship Id="rId7" Type="http://schemas.openxmlformats.org/officeDocument/2006/relationships/hyperlink" Target="https://www.tradingview.com/symbols/SZSE-002594/" TargetMode="External"/><Relationship Id="rId8" Type="http://schemas.openxmlformats.org/officeDocument/2006/relationships/hyperlink" Target="https://finance.yahoo.com/quote/002594.SZ/profile/" TargetMode="External"/><Relationship Id="rId31" Type="http://schemas.openxmlformats.org/officeDocument/2006/relationships/hyperlink" Target="https://www.tradingview.com/symbols/SZSE-002594/forecast/" TargetMode="External"/><Relationship Id="rId30" Type="http://schemas.openxmlformats.org/officeDocument/2006/relationships/hyperlink" Target="https://valueinvesting.io/002594.SZ/estimates" TargetMode="External"/><Relationship Id="rId33" Type="http://schemas.openxmlformats.org/officeDocument/2006/relationships/hyperlink" Target="https://valueinvesting.io/002594.SZ/estimates" TargetMode="External"/><Relationship Id="rId32" Type="http://schemas.openxmlformats.org/officeDocument/2006/relationships/hyperlink" Target="https://www.tradingview.com/symbols/SZSE-002594/forecast/" TargetMode="External"/><Relationship Id="rId35" Type="http://schemas.openxmlformats.org/officeDocument/2006/relationships/hyperlink" Target="https://www.tradingview.com/symbols/SZSE-002594/forecast/" TargetMode="External"/><Relationship Id="rId34" Type="http://schemas.openxmlformats.org/officeDocument/2006/relationships/hyperlink" Target="https://valueinvesting.io/002594.SZ/estimates" TargetMode="External"/><Relationship Id="rId37" Type="http://schemas.openxmlformats.org/officeDocument/2006/relationships/hyperlink" Target="https://www.reuters.com/markets/companies/002594.SZ" TargetMode="External"/><Relationship Id="rId36" Type="http://schemas.openxmlformats.org/officeDocument/2006/relationships/hyperlink" Target="https://www.moomoo.com/stock/002594-SZ/forecast" TargetMode="External"/><Relationship Id="rId39" Type="http://schemas.openxmlformats.org/officeDocument/2006/relationships/hyperlink" Target="https://valueinvesting.io/002594.SZ/valuation/fair-value" TargetMode="External"/><Relationship Id="rId38" Type="http://schemas.openxmlformats.org/officeDocument/2006/relationships/hyperlink" Target="https://bydukmedia.com/en/about.html" TargetMode="External"/><Relationship Id="rId20" Type="http://schemas.openxmlformats.org/officeDocument/2006/relationships/hyperlink" Target="https://www.tradingview.com/symbols/SZSE-002594/" TargetMode="External"/><Relationship Id="rId22" Type="http://schemas.openxmlformats.org/officeDocument/2006/relationships/hyperlink" Target="https://www.investing.com/equities/byd-a" TargetMode="External"/><Relationship Id="rId21" Type="http://schemas.openxmlformats.org/officeDocument/2006/relationships/hyperlink" Target="https://www.tradingview.com/symbols/SZSE-002594/" TargetMode="External"/><Relationship Id="rId24" Type="http://schemas.openxmlformats.org/officeDocument/2006/relationships/hyperlink" Target="https://www.tradingview.com/symbols/SZSE-002594/" TargetMode="External"/><Relationship Id="rId23" Type="http://schemas.openxmlformats.org/officeDocument/2006/relationships/hyperlink" Target="https://www.investing.com/equities/byd-a" TargetMode="External"/><Relationship Id="rId26" Type="http://schemas.openxmlformats.org/officeDocument/2006/relationships/hyperlink" Target="https://bydukmedia.com/en/about.html" TargetMode="External"/><Relationship Id="rId25" Type="http://schemas.openxmlformats.org/officeDocument/2006/relationships/hyperlink" Target="https://www.reuters.com/markets/companies/002594.SZ/financials" TargetMode="External"/><Relationship Id="rId28" Type="http://schemas.openxmlformats.org/officeDocument/2006/relationships/hyperlink" Target="https://en.wikipedia.org/wiki/BYD_Company" TargetMode="External"/><Relationship Id="rId27" Type="http://schemas.openxmlformats.org/officeDocument/2006/relationships/hyperlink" Target="https://www.tradingview.com/symbols/SZSE-002594/" TargetMode="External"/><Relationship Id="rId29" Type="http://schemas.openxmlformats.org/officeDocument/2006/relationships/hyperlink" Target="https://www.tradingview.com/symbols/SZSE-002594/" TargetMode="External"/><Relationship Id="rId51" Type="http://schemas.openxmlformats.org/officeDocument/2006/relationships/hyperlink" Target="https://www.reuters.com/markets/companies/002594.SZ" TargetMode="External"/><Relationship Id="rId50" Type="http://schemas.openxmlformats.org/officeDocument/2006/relationships/hyperlink" Target="https://www.moomoo.com/stock/002594-SZ/forecast" TargetMode="External"/><Relationship Id="rId53" Type="http://schemas.openxmlformats.org/officeDocument/2006/relationships/hyperlink" Target="https://valueinvesting.io/002594.SZ/valuation/fair-value" TargetMode="External"/><Relationship Id="rId52" Type="http://schemas.openxmlformats.org/officeDocument/2006/relationships/hyperlink" Target="https://finance.yahoo.com/quote/002594.SZ/financials/" TargetMode="External"/><Relationship Id="rId11" Type="http://schemas.openxmlformats.org/officeDocument/2006/relationships/hyperlink" Target="https://www.tradingview.com/symbols/SZSE-002594/" TargetMode="External"/><Relationship Id="rId55" Type="http://schemas.openxmlformats.org/officeDocument/2006/relationships/hyperlink" Target="https://www.wsj.com/market-data/quotes/cn/002594" TargetMode="External"/><Relationship Id="rId10" Type="http://schemas.openxmlformats.org/officeDocument/2006/relationships/hyperlink" Target="https://www.tradingview.com/symbols/SZSE-002594/" TargetMode="External"/><Relationship Id="rId54" Type="http://schemas.openxmlformats.org/officeDocument/2006/relationships/hyperlink" Target="https://companiesmarketcap.com/inr/byd/marketcap/" TargetMode="External"/><Relationship Id="rId13" Type="http://schemas.openxmlformats.org/officeDocument/2006/relationships/hyperlink" Target="https://en.wikipedia.org/wiki/BYD_Company" TargetMode="External"/><Relationship Id="rId57" Type="http://schemas.openxmlformats.org/officeDocument/2006/relationships/hyperlink" Target="https://www.morningstar.com/stocks/xshe/002594/quote" TargetMode="External"/><Relationship Id="rId12" Type="http://schemas.openxmlformats.org/officeDocument/2006/relationships/hyperlink" Target="https://en.wikipedia.org/wiki/BYD_Company" TargetMode="External"/><Relationship Id="rId56" Type="http://schemas.openxmlformats.org/officeDocument/2006/relationships/hyperlink" Target="https://finance.yahoo.com/quote/002594.SZ/analysis/" TargetMode="External"/><Relationship Id="rId15" Type="http://schemas.openxmlformats.org/officeDocument/2006/relationships/hyperlink" Target="https://en.wikipedia.org/wiki/BYD_Company" TargetMode="External"/><Relationship Id="rId59" Type="http://schemas.openxmlformats.org/officeDocument/2006/relationships/hyperlink" Target="https://au.finance.yahoo.com/quote/002594.SZ/analysis/" TargetMode="External"/><Relationship Id="rId14" Type="http://schemas.openxmlformats.org/officeDocument/2006/relationships/hyperlink" Target="https://www.tradingview.com/symbols/SZSE-002594/" TargetMode="External"/><Relationship Id="rId58" Type="http://schemas.openxmlformats.org/officeDocument/2006/relationships/hyperlink" Target="https://www.bloomberg.com/quote/002594:CH" TargetMode="External"/><Relationship Id="rId17" Type="http://schemas.openxmlformats.org/officeDocument/2006/relationships/hyperlink" Target="https://www.tradingview.com/symbols/SZSE-002594/" TargetMode="External"/><Relationship Id="rId16" Type="http://schemas.openxmlformats.org/officeDocument/2006/relationships/hyperlink" Target="https://www.tradingview.com/symbols/SZSE-002594/" TargetMode="External"/><Relationship Id="rId19" Type="http://schemas.openxmlformats.org/officeDocument/2006/relationships/hyperlink" Target="https://companiesmarketcap.com/byd/revenue/" TargetMode="External"/><Relationship Id="rId18" Type="http://schemas.openxmlformats.org/officeDocument/2006/relationships/hyperlink" Target="https://www.tradingview.com/symbols/SZSE-002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