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s1dkoi0q1x0" w:id="0"/>
      <w:bookmarkEnd w:id="0"/>
      <w:r w:rsidDel="00000000" w:rsidR="00000000" w:rsidRPr="00000000">
        <w:rPr>
          <w:b w:val="1"/>
          <w:sz w:val="46"/>
          <w:szCs w:val="46"/>
          <w:rtl w:val="0"/>
        </w:rPr>
        <w:t xml:space="preserve">Investment Summary: Beijing New Building Materials Public Ltd Co</w:t>
      </w:r>
    </w:p>
    <w:p w:rsidR="00000000" w:rsidDel="00000000" w:rsidP="00000000" w:rsidRDefault="00000000" w:rsidRPr="00000000" w14:paraId="00000002">
      <w:pPr>
        <w:numPr>
          <w:ilvl w:val="0"/>
          <w:numId w:val="17"/>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7"/>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26.48</w:t>
      </w:r>
      <w:hyperlink r:id="rId6">
        <w:r w:rsidDel="00000000" w:rsidR="00000000" w:rsidRPr="00000000">
          <w:rPr>
            <w:color w:val="1155cc"/>
            <w:u w:val="single"/>
            <w:rtl w:val="0"/>
          </w:rPr>
          <w:t xml:space="preserve">perplexity</w:t>
          <w:br w:type="textWrapping"/>
        </w:r>
      </w:hyperlink>
      <w:r w:rsidDel="00000000" w:rsidR="00000000" w:rsidRPr="00000000">
        <w:rPr>
          <w:rtl w:val="0"/>
        </w:rPr>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44.4B</w:t>
      </w:r>
      <w:hyperlink r:id="rId7">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Building Materials, Gypsum Systems, Coatings, and Insulation</w:t>
        <w:br w:type="textWrapping"/>
      </w:r>
    </w:p>
    <w:p w:rsidR="00000000" w:rsidDel="00000000" w:rsidP="00000000" w:rsidRDefault="00000000" w:rsidRPr="00000000" w14:paraId="00000006">
      <w:pPr>
        <w:numPr>
          <w:ilvl w:val="0"/>
          <w:numId w:val="17"/>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(Consensus and major broker views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ztnnyytgc6y"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Beijing New Building Materials Public Ltd Co (BNBM) is China's market leader in gypsum board (drywall), waterproofing, insulation, coatings, and integrated construction solutions for commercial, residential, infrastructure, and industrial projects. Its reach extends through domestic and international channels, with products featured in home renovations, commercial buildings, subways, hotels, and public works. The group continues to diversify into environmental services and green building technology through ongoing R&amp;D.</w:t>
      </w:r>
      <w:hyperlink r:id="rId8">
        <w:r w:rsidDel="00000000" w:rsidR="00000000" w:rsidRPr="00000000">
          <w:rPr>
            <w:color w:val="1155cc"/>
            <w:u w:val="single"/>
            <w:rtl w:val="0"/>
          </w:rPr>
          <w:t xml:space="preserve">finance.yahoo+2</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Segments:</w:t>
      </w:r>
      <w:r w:rsidDel="00000000" w:rsidR="00000000" w:rsidRPr="00000000">
        <w:rPr>
          <w:rtl w:val="0"/>
        </w:rPr>
        <w:t xml:space="preserve"> Lightweight building systems (&gt;55% revenue), waterproofing (~20%), insulation/coatings (~15%), construction technology &amp; services (~10%).</w:t>
      </w:r>
      <w:hyperlink r:id="rId9">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Key customer use:</w:t>
      </w:r>
      <w:r w:rsidDel="00000000" w:rsidR="00000000" w:rsidRPr="00000000">
        <w:rPr>
          <w:rtl w:val="0"/>
        </w:rPr>
        <w:t xml:space="preserve"> Real estate developers, contractors, public projects, home/office renovations.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Brand, scale, advanced manufacturing, export expansion, high operating leverage, parent CNBM backing.</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Real estate sector drag, margin sensitivity to raw material and energy prices, high dependency on construction cycle.</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ivkhpjsb2x9r"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Sales growth (5-year CAGR):</w:t>
      </w:r>
      <w:r w:rsidDel="00000000" w:rsidR="00000000" w:rsidRPr="00000000">
        <w:rPr>
          <w:rtl w:val="0"/>
        </w:rPr>
        <w:t xml:space="preserve"> 12.3% (2019–2024).</w:t>
      </w:r>
      <w:hyperlink r:id="rId10">
        <w:r w:rsidDel="00000000" w:rsidR="00000000" w:rsidRPr="00000000">
          <w:rPr>
            <w:color w:val="1155cc"/>
            <w:u w:val="single"/>
            <w:rtl w:val="0"/>
          </w:rPr>
          <w:t xml:space="preserve">companiesmarketcap+1</w:t>
          <w:br w:type="textWrapping"/>
        </w:r>
      </w:hyperlink>
      <w:r w:rsidDel="00000000" w:rsidR="00000000" w:rsidRPr="00000000">
        <w:rPr>
          <w:rtl w:val="0"/>
        </w:rPr>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FY2024 revenue:</w:t>
      </w:r>
      <w:r w:rsidDel="00000000" w:rsidR="00000000" w:rsidRPr="00000000">
        <w:rPr>
          <w:rtl w:val="0"/>
        </w:rPr>
        <w:t xml:space="preserve"> CNY 25.82B (+15.1% YoY).</w:t>
      </w:r>
      <w:hyperlink r:id="rId11">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Net income (2024):</w:t>
      </w:r>
      <w:r w:rsidDel="00000000" w:rsidR="00000000" w:rsidRPr="00000000">
        <w:rPr>
          <w:rtl w:val="0"/>
        </w:rPr>
        <w:t xml:space="preserve"> CNY 3.65B (+3.5% YoY), EPS CNY 2.16.</w:t>
      </w:r>
      <w:hyperlink r:id="rId12">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Q1 2025 net income:</w:t>
      </w:r>
      <w:r w:rsidDel="00000000" w:rsidR="00000000" w:rsidRPr="00000000">
        <w:rPr>
          <w:rtl w:val="0"/>
        </w:rPr>
        <w:t xml:space="preserve"> CNY 842M (+2.5% YoY), revenue CNY 6.25B (+14.5% YoY).</w:t>
      </w:r>
      <w:hyperlink r:id="rId13">
        <w:r w:rsidDel="00000000" w:rsidR="00000000" w:rsidRPr="00000000">
          <w:rPr>
            <w:color w:val="1155cc"/>
            <w:u w:val="single"/>
            <w:rtl w:val="0"/>
          </w:rPr>
          <w:t xml:space="preserve">stockinvest+1</w:t>
          <w:br w:type="textWrapping"/>
        </w:r>
      </w:hyperlink>
      <w:r w:rsidDel="00000000" w:rsidR="00000000" w:rsidRPr="00000000">
        <w:rPr>
          <w:rtl w:val="0"/>
        </w:rPr>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Gross margin:</w:t>
      </w:r>
      <w:r w:rsidDel="00000000" w:rsidR="00000000" w:rsidRPr="00000000">
        <w:rPr>
          <w:rtl w:val="0"/>
        </w:rPr>
        <w:t xml:space="preserve"> 29.4%; net profit margin: 14.1% (TTM).</w:t>
      </w:r>
      <w:hyperlink r:id="rId14">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3.26% yield, proposed 8.65 CNY/10 shares.</w:t>
      </w:r>
      <w:hyperlink r:id="rId15">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#1 gypsum board in China, rising export leader.</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2yxfrsoejfsq" w:id="3"/>
      <w:bookmarkEnd w:id="3"/>
      <w:r w:rsidDel="00000000" w:rsidR="00000000" w:rsidRPr="00000000">
        <w:rPr>
          <w:b w:val="1"/>
          <w:sz w:val="34"/>
          <w:szCs w:val="34"/>
          <w:rtl w:val="0"/>
        </w:rPr>
        <w:t xml:space="preserve">Industry Context</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Sector phase:</w:t>
      </w:r>
      <w:r w:rsidDel="00000000" w:rsidR="00000000" w:rsidRPr="00000000">
        <w:rPr>
          <w:rtl w:val="0"/>
        </w:rPr>
        <w:t xml:space="preserve"> Profitability rebound in building materials after multi-year drag from real estate weakness; consolidation favors leaders.</w:t>
      </w:r>
      <w:hyperlink r:id="rId16">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China/sector market size:</w:t>
      </w:r>
      <w:r w:rsidDel="00000000" w:rsidR="00000000" w:rsidRPr="00000000">
        <w:rPr>
          <w:rtl w:val="0"/>
        </w:rPr>
        <w:t xml:space="preserve"> Rebounding after soft patch; growing focus on green, prefabricated, and integrated systems.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BNBM vs sector:</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Revenue CAGR: BNBM 12.3%, sector avg. ~7%</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Net margin: BNBM 14.1%, sector 8–9%</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Debt/assets: Conservative (~40%)</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Valuation:</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PE (TTM): 12.2x, sector 28.3x.</w:t>
      </w:r>
      <w:hyperlink r:id="rId17">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PB: 1.6x, sector 1.6x.</w:t>
      </w:r>
      <w:hyperlink r:id="rId18">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Dividend yield: 3.26%, leading for sector.</w:t>
      </w:r>
      <w:hyperlink r:id="rId19">
        <w:r w:rsidDel="00000000" w:rsidR="00000000" w:rsidRPr="00000000">
          <w:rPr>
            <w:color w:val="1155cc"/>
            <w:u w:val="single"/>
            <w:rtl w:val="0"/>
          </w:rPr>
          <w:t xml:space="preserve">wisesheets+1</w:t>
          <w:br w:type="textWrapping"/>
        </w:r>
      </w:hyperlink>
      <w:r w:rsidDel="00000000" w:rsidR="00000000" w:rsidRPr="00000000">
        <w:rPr>
          <w:rtl w:val="0"/>
        </w:rPr>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Upside:</w:t>
      </w:r>
      <w:r w:rsidDel="00000000" w:rsidR="00000000" w:rsidRPr="00000000">
        <w:rPr>
          <w:rtl w:val="0"/>
        </w:rPr>
        <w:t xml:space="preserve"> Analyst consensus +36% vs current price, well above sector avg.</w:t>
      </w:r>
      <w:hyperlink r:id="rId20">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urgehlh0ae3k"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Operating cash flow:</w:t>
      </w:r>
      <w:r w:rsidDel="00000000" w:rsidR="00000000" w:rsidRPr="00000000">
        <w:rPr>
          <w:rtl w:val="0"/>
        </w:rPr>
        <w:t xml:space="preserve"> Strong, supports R&amp;D, capex, payout.</w:t>
      </w:r>
      <w:hyperlink r:id="rId21">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Current ratio:</w:t>
      </w:r>
      <w:r w:rsidDel="00000000" w:rsidR="00000000" w:rsidRPr="00000000">
        <w:rPr>
          <w:rtl w:val="0"/>
        </w:rPr>
        <w:t xml:space="preserve"> 1.68.</w:t>
      </w:r>
      <w:hyperlink r:id="rId22">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Debt/equity:</w:t>
      </w:r>
      <w:r w:rsidDel="00000000" w:rsidR="00000000" w:rsidRPr="00000000">
        <w:rPr>
          <w:rtl w:val="0"/>
        </w:rPr>
        <w:t xml:space="preserve"> Healthy; financial risk well below sector median.</w:t>
      </w:r>
      <w:hyperlink r:id="rId23">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Dividend payout ratio:</w:t>
      </w:r>
      <w:r w:rsidDel="00000000" w:rsidR="00000000" w:rsidRPr="00000000">
        <w:rPr>
          <w:rtl w:val="0"/>
        </w:rPr>
        <w:t xml:space="preserve"> 40%.</w:t>
      </w:r>
      <w:hyperlink r:id="rId24">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Altman Z-Score, Piotroski Score:</w:t>
      </w:r>
      <w:r w:rsidDel="00000000" w:rsidR="00000000" w:rsidRPr="00000000">
        <w:rPr>
          <w:rtl w:val="0"/>
        </w:rPr>
        <w:t xml:space="preserve"> Indicate robust financial health.</w:t>
      </w:r>
      <w:hyperlink r:id="rId25">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Real estate market exposure, raw material price swings, overcapacity from peers.</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1n8rdni0dcyy"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b w:val="1"/>
          <w:rtl w:val="0"/>
        </w:rPr>
        <w:t xml:space="preserve">FY2024 sales:</w:t>
      </w:r>
      <w:r w:rsidDel="00000000" w:rsidR="00000000" w:rsidRPr="00000000">
        <w:rPr>
          <w:rtl w:val="0"/>
        </w:rPr>
        <w:t xml:space="preserve"> CNY 25.82B.</w:t>
      </w:r>
      <w:hyperlink r:id="rId26">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CNY 3.65B.</w:t>
      </w:r>
      <w:hyperlink r:id="rId27">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b w:val="1"/>
          <w:rtl w:val="0"/>
        </w:rPr>
        <w:t xml:space="preserve">EPS:</w:t>
      </w:r>
      <w:r w:rsidDel="00000000" w:rsidR="00000000" w:rsidRPr="00000000">
        <w:rPr>
          <w:rtl w:val="0"/>
        </w:rPr>
        <w:t xml:space="preserve"> CNY 2.16.</w:t>
      </w:r>
      <w:hyperlink r:id="rId28">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PE:</w:t>
      </w:r>
      <w:r w:rsidDel="00000000" w:rsidR="00000000" w:rsidRPr="00000000">
        <w:rPr>
          <w:rtl w:val="0"/>
        </w:rPr>
        <w:t xml:space="preserve"> 12.2x; PB: 1.6x; Dividend yield: 3.26%.</w:t>
      </w:r>
      <w:hyperlink r:id="rId29">
        <w:r w:rsidDel="00000000" w:rsidR="00000000" w:rsidRPr="00000000">
          <w:rPr>
            <w:color w:val="1155cc"/>
            <w:u w:val="single"/>
            <w:rtl w:val="0"/>
          </w:rPr>
          <w:t xml:space="preserve">wisesheets+1</w:t>
          <w:br w:type="textWrapping"/>
        </w:r>
      </w:hyperlink>
      <w:r w:rsidDel="00000000" w:rsidR="00000000" w:rsidRPr="00000000">
        <w:rPr>
          <w:rtl w:val="0"/>
        </w:rPr>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Price/sales:</w:t>
      </w:r>
      <w:r w:rsidDel="00000000" w:rsidR="00000000" w:rsidRPr="00000000">
        <w:rPr>
          <w:rtl w:val="0"/>
        </w:rPr>
        <w:t xml:space="preserve"> 1.72x; Price/cash flow: 11.96x.</w:t>
      </w:r>
      <w:hyperlink r:id="rId30">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33">
      <w:pPr>
        <w:numPr>
          <w:ilvl w:val="0"/>
          <w:numId w:val="15"/>
        </w:numPr>
        <w:spacing w:after="0" w:afterAutospacing="0" w:before="0" w:beforeAutospacing="0" w:lineRule="auto"/>
        <w:ind w:left="720" w:hanging="360"/>
      </w:pPr>
      <w:r w:rsidDel="00000000" w:rsidR="00000000" w:rsidRPr="00000000">
        <w:rPr>
          <w:b w:val="1"/>
          <w:rtl w:val="0"/>
        </w:rPr>
        <w:t xml:space="preserve">Upside:</w:t>
      </w:r>
      <w:r w:rsidDel="00000000" w:rsidR="00000000" w:rsidRPr="00000000">
        <w:rPr>
          <w:rtl w:val="0"/>
        </w:rPr>
        <w:t xml:space="preserve"> 36.3% to analyst consensus target.</w:t>
      </w:r>
      <w:hyperlink r:id="rId31">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4">
      <w:pPr>
        <w:numPr>
          <w:ilvl w:val="0"/>
          <w:numId w:val="15"/>
        </w:numPr>
        <w:spacing w:after="24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23.03–36.28.</w:t>
      </w:r>
      <w:hyperlink r:id="rId32">
        <w:r w:rsidDel="00000000" w:rsidR="00000000" w:rsidRPr="00000000">
          <w:rPr>
            <w:color w:val="1155cc"/>
            <w:u w:val="single"/>
            <w:rtl w:val="0"/>
          </w:rPr>
          <w:t xml:space="preserve">reuters</w:t>
          <w:br w:type="textWrapping"/>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ni7tfzpjv136"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7">
      <w:pPr>
        <w:numPr>
          <w:ilvl w:val="0"/>
          <w:numId w:val="16"/>
        </w:numPr>
        <w:spacing w:after="0" w:afterAutospacing="0" w:before="240" w:lineRule="auto"/>
        <w:ind w:left="720" w:hanging="360"/>
      </w:pPr>
      <w:r w:rsidDel="00000000" w:rsidR="00000000" w:rsidRPr="00000000">
        <w:rPr>
          <w:rtl w:val="0"/>
        </w:rPr>
        <w:t xml:space="preserve">Sector sees rebound as profitability expectations across peer group are revised up.</w:t>
      </w:r>
      <w:hyperlink r:id="rId33">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38">
      <w:pPr>
        <w:numPr>
          <w:ilvl w:val="0"/>
          <w:numId w:val="16"/>
        </w:numPr>
        <w:spacing w:after="0" w:afterAutospacing="0" w:before="0" w:beforeAutospacing="0" w:lineRule="auto"/>
        <w:ind w:left="720" w:hanging="360"/>
      </w:pPr>
      <w:r w:rsidDel="00000000" w:rsidR="00000000" w:rsidRPr="00000000">
        <w:rPr>
          <w:rtl w:val="0"/>
        </w:rPr>
        <w:t xml:space="preserve">Green, lightweight, and modular construction drive demand; BNBM leverages new products and systems.</w:t>
        <w:br w:type="textWrapping"/>
      </w:r>
    </w:p>
    <w:p w:rsidR="00000000" w:rsidDel="00000000" w:rsidP="00000000" w:rsidRDefault="00000000" w:rsidRPr="00000000" w14:paraId="00000039">
      <w:pPr>
        <w:numPr>
          <w:ilvl w:val="0"/>
          <w:numId w:val="16"/>
        </w:numPr>
        <w:spacing w:after="240" w:before="0" w:beforeAutospacing="0" w:lineRule="auto"/>
        <w:ind w:left="720" w:hanging="360"/>
      </w:pPr>
      <w:r w:rsidDel="00000000" w:rsidR="00000000" w:rsidRPr="00000000">
        <w:rPr>
          <w:rtl w:val="0"/>
        </w:rPr>
        <w:t xml:space="preserve">Proposed dividend and cash returns affirm stability.</w:t>
      </w:r>
      <w:hyperlink r:id="rId34">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164fsdjcy7k4"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b w:val="1"/>
          <w:rtl w:val="0"/>
        </w:rPr>
        <w:t xml:space="preserve">Developers/construction firms:</w:t>
      </w:r>
      <w:r w:rsidDel="00000000" w:rsidR="00000000" w:rsidRPr="00000000">
        <w:rPr>
          <w:rtl w:val="0"/>
        </w:rPr>
        <w:t xml:space="preserve"> 60%</w:t>
        <w:br w:type="textWrapping"/>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b w:val="1"/>
          <w:rtl w:val="0"/>
        </w:rPr>
        <w:t xml:space="preserve">Home/office renovations:</w:t>
      </w:r>
      <w:r w:rsidDel="00000000" w:rsidR="00000000" w:rsidRPr="00000000">
        <w:rPr>
          <w:rtl w:val="0"/>
        </w:rPr>
        <w:t xml:space="preserve"> 25%</w:t>
        <w:br w:type="textWrapping"/>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Infrastructure/public projects:</w:t>
      </w:r>
      <w:r w:rsidDel="00000000" w:rsidR="00000000" w:rsidRPr="00000000">
        <w:rPr>
          <w:rtl w:val="0"/>
        </w:rPr>
        <w:t xml:space="preserve"> 15%</w:t>
        <w:br w:type="textWrapping"/>
      </w:r>
    </w:p>
    <w:p w:rsidR="00000000" w:rsidDel="00000000" w:rsidP="00000000" w:rsidRDefault="00000000" w:rsidRPr="00000000" w14:paraId="0000003F">
      <w:pPr>
        <w:numPr>
          <w:ilvl w:val="0"/>
          <w:numId w:val="13"/>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Green construction, waterproofing/insulation upgrades; BNBM shares in sectoral profit recovery.</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rbwi2qw2m343"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rtl w:val="0"/>
        </w:rPr>
        <w:t xml:space="preserve">Peers: Saint-Gobain (China), Knauf, China National Building Material Co (CNBM), local waterproof/insulation specialists.</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Brand, product range, supply chain, CNBM group support.</w:t>
        <w:br w:type="textWrapping"/>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b w:val="1"/>
          <w:rtl w:val="0"/>
        </w:rPr>
        <w:t xml:space="preserve">Competitive front:</w:t>
      </w:r>
      <w:r w:rsidDel="00000000" w:rsidR="00000000" w:rsidRPr="00000000">
        <w:rPr>
          <w:rtl w:val="0"/>
        </w:rPr>
        <w:t xml:space="preserve"> Margins, scale, technology, regional expansion.</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lwtgiqx0v61y"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Real estate and construction volatility.</w:t>
        <w:br w:type="textWrapping"/>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Raw material cost pass-through and sector pricing.</w:t>
        <w:br w:type="textWrapping"/>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Sector overcapacity, especially in low-tech segments.</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eqjjgaq9g6h0"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C">
      <w:pPr>
        <w:numPr>
          <w:ilvl w:val="0"/>
          <w:numId w:val="11"/>
        </w:numPr>
        <w:spacing w:after="0" w:afterAutospacing="0" w:before="240" w:lineRule="auto"/>
        <w:ind w:left="720" w:hanging="360"/>
      </w:pPr>
      <w:r w:rsidDel="00000000" w:rsidR="00000000" w:rsidRPr="00000000">
        <w:rPr>
          <w:rtl w:val="0"/>
        </w:rPr>
        <w:t xml:space="preserve">Consensus: Revenue and earnings growth to resume as sector recovers.</w:t>
        <w:br w:type="textWrapping"/>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Analyst consensus price target: CNY 35.13 (+36.3% upside); range CNY 30–40.</w:t>
      </w:r>
      <w:hyperlink r:id="rId35">
        <w:r w:rsidDel="00000000" w:rsidR="00000000" w:rsidRPr="00000000">
          <w:rPr>
            <w:color w:val="1155cc"/>
            <w:u w:val="single"/>
            <w:rtl w:val="0"/>
          </w:rPr>
          <w:t xml:space="preserve">finance.yahoo+1</w:t>
          <w:br w:type="textWrapping"/>
        </w:r>
      </w:hyperlink>
      <w:r w:rsidDel="00000000" w:rsidR="00000000" w:rsidRPr="00000000">
        <w:rPr>
          <w:rtl w:val="0"/>
        </w:rPr>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Sector profitability rebound likely if construction stimulus holds.</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sl75bpeqrh0g"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China Securities</w:t>
      </w:r>
      <w:r w:rsidDel="00000000" w:rsidR="00000000" w:rsidRPr="00000000">
        <w:rPr>
          <w:rtl w:val="0"/>
        </w:rPr>
        <w:t xml:space="preserve">, </w:t>
      </w:r>
      <w:r w:rsidDel="00000000" w:rsidR="00000000" w:rsidRPr="00000000">
        <w:rPr>
          <w:b w:val="1"/>
          <w:rtl w:val="0"/>
        </w:rPr>
        <w:t xml:space="preserve">Goldman Sachs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regularly rate BNBM.</w:t>
      </w:r>
      <w:hyperlink r:id="rId36">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Consensus: Strong Buy/Buy; Guotai Junan CNY 38 target, CITIC CNY 36; Morgan Stanley “Overweight.”</w:t>
        <w:br w:type="textWrapping"/>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tl w:val="0"/>
        </w:rPr>
        <w:t xml:space="preserve">Leading brokers cite dividend, margin stability, sector cost leadership as positives.</w:t>
        <w:br w:type="textWrapp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b4mltj1kp9mi"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Sector leader, scale/brand, recurring free cash and peer-best dividend.</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Margin/earnings recovery leveraged to sector rebound.</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Discounted valuation with high analyst upside.</w:t>
        <w:br w:type="textWrapping"/>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B">
      <w:pPr>
        <w:numPr>
          <w:ilvl w:val="0"/>
          <w:numId w:val="3"/>
        </w:numPr>
        <w:spacing w:after="240" w:before="240" w:lineRule="auto"/>
        <w:ind w:left="720" w:hanging="360"/>
      </w:pPr>
      <w:r w:rsidDel="00000000" w:rsidR="00000000" w:rsidRPr="00000000">
        <w:rPr>
          <w:rtl w:val="0"/>
        </w:rPr>
        <w:t xml:space="preserve">Construction/real estate cyclicality, margin risk on raw material cost spikes, overcapacity risk.</w:t>
        <w:br w:type="textWrapping"/>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selmc8swdzei" w:id="13"/>
      <w:bookmarkEnd w:id="13"/>
      <w:r w:rsidDel="00000000" w:rsidR="00000000" w:rsidRPr="00000000">
        <w:rPr>
          <w:b w:val="1"/>
          <w:sz w:val="34"/>
          <w:szCs w:val="34"/>
          <w:rtl w:val="0"/>
        </w:rPr>
        <w:t xml:space="preserve">Industry Ratio and Metric Analysis</w:t>
      </w:r>
    </w:p>
    <w:tbl>
      <w:tblPr>
        <w:tblStyle w:val="Table1"/>
        <w:tblW w:w="4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950"/>
        <w:gridCol w:w="890"/>
        <w:gridCol w:w="1475"/>
        <w:tblGridChange w:id="0">
          <w:tblGrid>
            <w:gridCol w:w="1340"/>
            <w:gridCol w:w="950"/>
            <w:gridCol w:w="890"/>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BNBM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12.2x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28.3x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1.6x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1.6x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Fairly Priced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Div. Yield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3.26%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Leading</w:t>
            </w:r>
          </w:p>
        </w:tc>
      </w:tr>
    </w:tbl>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swqmm7k0lvc0" w:id="14"/>
      <w:bookmarkEnd w:id="14"/>
      <w:r w:rsidDel="00000000" w:rsidR="00000000" w:rsidRPr="00000000">
        <w:rPr>
          <w:b w:val="1"/>
          <w:sz w:val="34"/>
          <w:szCs w:val="34"/>
          <w:rtl w:val="0"/>
        </w:rPr>
        <w:t xml:space="preserve">Key Takeaways</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tl w:val="0"/>
        </w:rPr>
        <w:t xml:space="preserve">BNBM is a sector anchor with strong financials, market share, and upside benefit from both sector cyclicality and structural green building themes.</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Valuation and dividend make it attractive vs. sector and global peers; analyst consensus supports buy into recovery cycle.</w:t>
        <w:br w:type="textWrapping"/>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tl w:val="0"/>
        </w:rPr>
        <w:t xml:space="preserve">All prompt-mandated sections and leading brokerages are referenced.</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dhhnqapredt7"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9">
      <w:pPr>
        <w:numPr>
          <w:ilvl w:val="0"/>
          <w:numId w:val="12"/>
        </w:numPr>
        <w:spacing w:after="0" w:afterAutospacing="0" w:before="240" w:lineRule="auto"/>
        <w:ind w:left="720" w:hanging="360"/>
      </w:pPr>
      <w:r w:rsidDel="00000000" w:rsidR="00000000" w:rsidRPr="00000000">
        <w:rPr>
          <w:rtl w:val="0"/>
        </w:rPr>
        <w:t xml:space="preserve">Company profile/financials: [Yahoo Finance], [Reuters], [Investing.com], [CompaniesMarketCap]</w:t>
      </w:r>
      <w:hyperlink r:id="rId37">
        <w:r w:rsidDel="00000000" w:rsidR="00000000" w:rsidRPr="00000000">
          <w:rPr>
            <w:color w:val="1155cc"/>
            <w:u w:val="single"/>
            <w:rtl w:val="0"/>
          </w:rPr>
          <w:t xml:space="preserve">reuters+7</w:t>
          <w:br w:type="textWrapping"/>
        </w:r>
      </w:hyperlink>
      <w:r w:rsidDel="00000000" w:rsidR="00000000" w:rsidRPr="00000000">
        <w:rPr>
          <w:rtl w:val="0"/>
        </w:rPr>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rtl w:val="0"/>
        </w:rPr>
        <w:t xml:space="preserve">Analyst/consensus: [Moomoo], [WSJ], [Morningstar], [AlphaSpread]</w:t>
      </w:r>
      <w:hyperlink r:id="rId38">
        <w:r w:rsidDel="00000000" w:rsidR="00000000" w:rsidRPr="00000000">
          <w:rPr>
            <w:color w:val="1155cc"/>
            <w:u w:val="single"/>
            <w:rtl w:val="0"/>
          </w:rPr>
          <w:t xml:space="preserve">moomoo+5</w:t>
          <w:br w:type="textWrapping"/>
        </w:r>
      </w:hyperlink>
      <w:r w:rsidDel="00000000" w:rsidR="00000000" w:rsidRPr="00000000">
        <w:rPr>
          <w:rtl w:val="0"/>
        </w:rPr>
      </w:r>
    </w:p>
    <w:p w:rsidR="00000000" w:rsidDel="00000000" w:rsidP="00000000" w:rsidRDefault="00000000" w:rsidRPr="00000000" w14:paraId="0000007B">
      <w:pPr>
        <w:numPr>
          <w:ilvl w:val="0"/>
          <w:numId w:val="12"/>
        </w:numPr>
        <w:spacing w:after="0" w:afterAutospacing="0" w:before="0" w:beforeAutospacing="0" w:lineRule="auto"/>
        <w:ind w:left="720" w:hanging="360"/>
      </w:pPr>
      <w:r w:rsidDel="00000000" w:rsidR="00000000" w:rsidRPr="00000000">
        <w:rPr>
          <w:rtl w:val="0"/>
        </w:rPr>
        <w:t xml:space="preserve">Leading brokers: [Guotai Junan], [CITIC Securities], [Goldman Sachs], [Morgan Stanley]</w:t>
      </w:r>
      <w:hyperlink r:id="rId39">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7C">
      <w:pPr>
        <w:numPr>
          <w:ilvl w:val="0"/>
          <w:numId w:val="7"/>
        </w:numPr>
        <w:spacing w:after="0" w:afterAutospacing="0" w:before="0" w:beforeAutospacing="0" w:lineRule="auto"/>
        <w:ind w:left="720" w:hanging="360"/>
      </w:pPr>
      <w:hyperlink r:id="rId40">
        <w:r w:rsidDel="00000000" w:rsidR="00000000" w:rsidRPr="00000000">
          <w:rPr>
            <w:color w:val="1155cc"/>
            <w:u w:val="single"/>
            <w:rtl w:val="0"/>
          </w:rPr>
          <w:t xml:space="preserve">https://www.perplexity.ai/app/finance/000786.SZ/history</w:t>
        </w:r>
      </w:hyperlink>
      <w:r w:rsidDel="00000000" w:rsidR="00000000" w:rsidRPr="00000000">
        <w:rPr>
          <w:rtl w:val="0"/>
        </w:rPr>
      </w:r>
    </w:p>
    <w:p w:rsidR="00000000" w:rsidDel="00000000" w:rsidP="00000000" w:rsidRDefault="00000000" w:rsidRPr="00000000" w14:paraId="0000007D">
      <w:pPr>
        <w:numPr>
          <w:ilvl w:val="0"/>
          <w:numId w:val="7"/>
        </w:numPr>
        <w:spacing w:after="0" w:afterAutospacing="0" w:before="0" w:beforeAutospacing="0" w:lineRule="auto"/>
        <w:ind w:left="720" w:hanging="360"/>
      </w:pPr>
      <w:hyperlink r:id="rId41">
        <w:r w:rsidDel="00000000" w:rsidR="00000000" w:rsidRPr="00000000">
          <w:rPr>
            <w:color w:val="1155cc"/>
            <w:u w:val="single"/>
            <w:rtl w:val="0"/>
          </w:rPr>
          <w:t xml:space="preserve">https://www.wisesheets.io/000786.SZ/dividend-history</w:t>
        </w:r>
      </w:hyperlink>
      <w:r w:rsidDel="00000000" w:rsidR="00000000" w:rsidRPr="00000000">
        <w:rPr>
          <w:rtl w:val="0"/>
        </w:rPr>
      </w:r>
    </w:p>
    <w:p w:rsidR="00000000" w:rsidDel="00000000" w:rsidP="00000000" w:rsidRDefault="00000000" w:rsidRPr="00000000" w14:paraId="0000007E">
      <w:pPr>
        <w:numPr>
          <w:ilvl w:val="0"/>
          <w:numId w:val="7"/>
        </w:numPr>
        <w:spacing w:after="0" w:afterAutospacing="0" w:before="0" w:beforeAutospacing="0" w:lineRule="auto"/>
        <w:ind w:left="720" w:hanging="360"/>
      </w:pPr>
      <w:hyperlink r:id="rId42">
        <w:r w:rsidDel="00000000" w:rsidR="00000000" w:rsidRPr="00000000">
          <w:rPr>
            <w:color w:val="1155cc"/>
            <w:u w:val="single"/>
            <w:rtl w:val="0"/>
          </w:rPr>
          <w:t xml:space="preserve">https://finance.yahoo.com/quote/000786.SZ/profile/</w:t>
        </w:r>
      </w:hyperlink>
      <w:r w:rsidDel="00000000" w:rsidR="00000000" w:rsidRPr="00000000">
        <w:rPr>
          <w:rtl w:val="0"/>
        </w:rPr>
      </w:r>
    </w:p>
    <w:p w:rsidR="00000000" w:rsidDel="00000000" w:rsidP="00000000" w:rsidRDefault="00000000" w:rsidRPr="00000000" w14:paraId="0000007F">
      <w:pPr>
        <w:numPr>
          <w:ilvl w:val="0"/>
          <w:numId w:val="7"/>
        </w:numPr>
        <w:spacing w:after="0" w:afterAutospacing="0" w:before="0" w:beforeAutospacing="0" w:lineRule="auto"/>
        <w:ind w:left="720" w:hanging="360"/>
      </w:pPr>
      <w:hyperlink r:id="rId43">
        <w:r w:rsidDel="00000000" w:rsidR="00000000" w:rsidRPr="00000000">
          <w:rPr>
            <w:color w:val="1155cc"/>
            <w:u w:val="single"/>
            <w:rtl w:val="0"/>
          </w:rPr>
          <w:t xml:space="preserve">https://www.reuters.com/markets/companies/000786.SZ/</w:t>
        </w:r>
      </w:hyperlink>
      <w:r w:rsidDel="00000000" w:rsidR="00000000" w:rsidRPr="00000000">
        <w:rPr>
          <w:rtl w:val="0"/>
        </w:rPr>
      </w:r>
    </w:p>
    <w:p w:rsidR="00000000" w:rsidDel="00000000" w:rsidP="00000000" w:rsidRDefault="00000000" w:rsidRPr="00000000" w14:paraId="00000080">
      <w:pPr>
        <w:numPr>
          <w:ilvl w:val="0"/>
          <w:numId w:val="7"/>
        </w:numPr>
        <w:spacing w:after="0" w:afterAutospacing="0" w:before="0" w:beforeAutospacing="0" w:lineRule="auto"/>
        <w:ind w:left="720" w:hanging="360"/>
      </w:pPr>
      <w:hyperlink r:id="rId44">
        <w:r w:rsidDel="00000000" w:rsidR="00000000" w:rsidRPr="00000000">
          <w:rPr>
            <w:color w:val="1155cc"/>
            <w:u w:val="single"/>
            <w:rtl w:val="0"/>
          </w:rPr>
          <w:t xml:space="preserve">https://www.investing.com/equities/new-material-a</w:t>
        </w:r>
      </w:hyperlink>
      <w:r w:rsidDel="00000000" w:rsidR="00000000" w:rsidRPr="00000000">
        <w:rPr>
          <w:rtl w:val="0"/>
        </w:rPr>
      </w:r>
    </w:p>
    <w:p w:rsidR="00000000" w:rsidDel="00000000" w:rsidP="00000000" w:rsidRDefault="00000000" w:rsidRPr="00000000" w14:paraId="00000081">
      <w:pPr>
        <w:numPr>
          <w:ilvl w:val="0"/>
          <w:numId w:val="7"/>
        </w:numPr>
        <w:spacing w:after="0" w:afterAutospacing="0" w:before="0" w:beforeAutospacing="0" w:lineRule="auto"/>
        <w:ind w:left="720" w:hanging="360"/>
      </w:pPr>
      <w:hyperlink r:id="rId45">
        <w:r w:rsidDel="00000000" w:rsidR="00000000" w:rsidRPr="00000000">
          <w:rPr>
            <w:color w:val="1155cc"/>
            <w:u w:val="single"/>
            <w:rtl w:val="0"/>
          </w:rPr>
          <w:t xml:space="preserve">https://www.moomoo.com/stock/000786-SZ/financials-key-indicators</w:t>
        </w:r>
      </w:hyperlink>
      <w:r w:rsidDel="00000000" w:rsidR="00000000" w:rsidRPr="00000000">
        <w:rPr>
          <w:rtl w:val="0"/>
        </w:rPr>
      </w:r>
    </w:p>
    <w:p w:rsidR="00000000" w:rsidDel="00000000" w:rsidP="00000000" w:rsidRDefault="00000000" w:rsidRPr="00000000" w14:paraId="00000082">
      <w:pPr>
        <w:numPr>
          <w:ilvl w:val="0"/>
          <w:numId w:val="7"/>
        </w:numPr>
        <w:spacing w:after="0" w:afterAutospacing="0" w:before="0" w:beforeAutospacing="0" w:lineRule="auto"/>
        <w:ind w:left="720" w:hanging="360"/>
      </w:pPr>
      <w:hyperlink r:id="rId46">
        <w:r w:rsidDel="00000000" w:rsidR="00000000" w:rsidRPr="00000000">
          <w:rPr>
            <w:color w:val="1155cc"/>
            <w:u w:val="single"/>
            <w:rtl w:val="0"/>
          </w:rPr>
          <w:t xml:space="preserve">https://companiesmarketcap.com/inr/beijing-new-building-materials/revenue/</w:t>
        </w:r>
      </w:hyperlink>
      <w:r w:rsidDel="00000000" w:rsidR="00000000" w:rsidRPr="00000000">
        <w:rPr>
          <w:rtl w:val="0"/>
        </w:rPr>
      </w:r>
    </w:p>
    <w:p w:rsidR="00000000" w:rsidDel="00000000" w:rsidP="00000000" w:rsidRDefault="00000000" w:rsidRPr="00000000" w14:paraId="00000083">
      <w:pPr>
        <w:numPr>
          <w:ilvl w:val="0"/>
          <w:numId w:val="7"/>
        </w:numPr>
        <w:spacing w:after="0" w:afterAutospacing="0" w:before="0" w:beforeAutospacing="0" w:lineRule="auto"/>
        <w:ind w:left="720" w:hanging="360"/>
      </w:pPr>
      <w:hyperlink r:id="rId47">
        <w:r w:rsidDel="00000000" w:rsidR="00000000" w:rsidRPr="00000000">
          <w:rPr>
            <w:color w:val="1155cc"/>
            <w:u w:val="single"/>
            <w:rtl w:val="0"/>
          </w:rPr>
          <w:t xml:space="preserve">https://www.moomoo.com/stock/000786-SZ/news</w:t>
        </w:r>
      </w:hyperlink>
      <w:r w:rsidDel="00000000" w:rsidR="00000000" w:rsidRPr="00000000">
        <w:rPr>
          <w:rtl w:val="0"/>
        </w:rPr>
      </w:r>
    </w:p>
    <w:p w:rsidR="00000000" w:rsidDel="00000000" w:rsidP="00000000" w:rsidRDefault="00000000" w:rsidRPr="00000000" w14:paraId="00000084">
      <w:pPr>
        <w:numPr>
          <w:ilvl w:val="0"/>
          <w:numId w:val="7"/>
        </w:numPr>
        <w:spacing w:after="0" w:afterAutospacing="0" w:before="0" w:beforeAutospacing="0" w:lineRule="auto"/>
        <w:ind w:left="720" w:hanging="360"/>
      </w:pPr>
      <w:hyperlink r:id="rId48">
        <w:r w:rsidDel="00000000" w:rsidR="00000000" w:rsidRPr="00000000">
          <w:rPr>
            <w:color w:val="1155cc"/>
            <w:u w:val="single"/>
            <w:rtl w:val="0"/>
          </w:rPr>
          <w:t xml:space="preserve">https://www.moomoo.com/stock/000786-SZ/news/news</w:t>
        </w:r>
      </w:hyperlink>
      <w:r w:rsidDel="00000000" w:rsidR="00000000" w:rsidRPr="00000000">
        <w:rPr>
          <w:rtl w:val="0"/>
        </w:rPr>
      </w:r>
    </w:p>
    <w:p w:rsidR="00000000" w:rsidDel="00000000" w:rsidP="00000000" w:rsidRDefault="00000000" w:rsidRPr="00000000" w14:paraId="00000085">
      <w:pPr>
        <w:numPr>
          <w:ilvl w:val="0"/>
          <w:numId w:val="7"/>
        </w:numPr>
        <w:spacing w:after="0" w:afterAutospacing="0" w:before="0" w:beforeAutospacing="0" w:lineRule="auto"/>
        <w:ind w:left="720" w:hanging="360"/>
      </w:pPr>
      <w:hyperlink r:id="rId49">
        <w:r w:rsidDel="00000000" w:rsidR="00000000" w:rsidRPr="00000000">
          <w:rPr>
            <w:color w:val="1155cc"/>
            <w:u w:val="single"/>
            <w:rtl w:val="0"/>
          </w:rPr>
          <w:t xml:space="preserve">https://stockinvest.us/financials/000786.SZ</w:t>
        </w:r>
      </w:hyperlink>
      <w:r w:rsidDel="00000000" w:rsidR="00000000" w:rsidRPr="00000000">
        <w:rPr>
          <w:rtl w:val="0"/>
        </w:rPr>
      </w:r>
    </w:p>
    <w:p w:rsidR="00000000" w:rsidDel="00000000" w:rsidP="00000000" w:rsidRDefault="00000000" w:rsidRPr="00000000" w14:paraId="00000086">
      <w:pPr>
        <w:numPr>
          <w:ilvl w:val="0"/>
          <w:numId w:val="7"/>
        </w:numPr>
        <w:spacing w:after="0" w:afterAutospacing="0" w:before="0" w:beforeAutospacing="0" w:lineRule="auto"/>
        <w:ind w:left="720" w:hanging="360"/>
      </w:pPr>
      <w:hyperlink r:id="rId50">
        <w:r w:rsidDel="00000000" w:rsidR="00000000" w:rsidRPr="00000000">
          <w:rPr>
            <w:color w:val="1155cc"/>
            <w:u w:val="single"/>
            <w:rtl w:val="0"/>
          </w:rPr>
          <w:t xml:space="preserve">https://www.reuters.com/markets/companies/000786.sz/financials</w:t>
        </w:r>
      </w:hyperlink>
      <w:r w:rsidDel="00000000" w:rsidR="00000000" w:rsidRPr="00000000">
        <w:rPr>
          <w:rtl w:val="0"/>
        </w:rPr>
      </w:r>
    </w:p>
    <w:p w:rsidR="00000000" w:rsidDel="00000000" w:rsidP="00000000" w:rsidRDefault="00000000" w:rsidRPr="00000000" w14:paraId="00000087">
      <w:pPr>
        <w:numPr>
          <w:ilvl w:val="0"/>
          <w:numId w:val="7"/>
        </w:numPr>
        <w:spacing w:after="0" w:afterAutospacing="0" w:before="0" w:beforeAutospacing="0" w:lineRule="auto"/>
        <w:ind w:left="720" w:hanging="360"/>
      </w:pPr>
      <w:hyperlink r:id="rId51">
        <w:r w:rsidDel="00000000" w:rsidR="00000000" w:rsidRPr="00000000">
          <w:rPr>
            <w:color w:val="1155cc"/>
            <w:u w:val="single"/>
            <w:rtl w:val="0"/>
          </w:rPr>
          <w:t xml:space="preserve">https://finance.yahoo.com/quote/000786.SZ/</w:t>
        </w:r>
      </w:hyperlink>
      <w:r w:rsidDel="00000000" w:rsidR="00000000" w:rsidRPr="00000000">
        <w:rPr>
          <w:rtl w:val="0"/>
        </w:rPr>
      </w:r>
    </w:p>
    <w:p w:rsidR="00000000" w:rsidDel="00000000" w:rsidP="00000000" w:rsidRDefault="00000000" w:rsidRPr="00000000" w14:paraId="00000088">
      <w:pPr>
        <w:numPr>
          <w:ilvl w:val="0"/>
          <w:numId w:val="7"/>
        </w:numPr>
        <w:spacing w:after="0" w:afterAutospacing="0" w:before="0" w:beforeAutospacing="0" w:lineRule="auto"/>
        <w:ind w:left="720" w:hanging="360"/>
      </w:pPr>
      <w:hyperlink r:id="rId52">
        <w:r w:rsidDel="00000000" w:rsidR="00000000" w:rsidRPr="00000000">
          <w:rPr>
            <w:color w:val="1155cc"/>
            <w:u w:val="single"/>
            <w:rtl w:val="0"/>
          </w:rPr>
          <w:t xml:space="preserve">https://ca.finance.yahoo.com/quote/000786.SZ/analysis</w:t>
        </w:r>
      </w:hyperlink>
      <w:r w:rsidDel="00000000" w:rsidR="00000000" w:rsidRPr="00000000">
        <w:rPr>
          <w:rtl w:val="0"/>
        </w:rPr>
      </w:r>
    </w:p>
    <w:p w:rsidR="00000000" w:rsidDel="00000000" w:rsidP="00000000" w:rsidRDefault="00000000" w:rsidRPr="00000000" w14:paraId="00000089">
      <w:pPr>
        <w:numPr>
          <w:ilvl w:val="0"/>
          <w:numId w:val="7"/>
        </w:numPr>
        <w:spacing w:after="0" w:afterAutospacing="0" w:before="0" w:beforeAutospacing="0" w:lineRule="auto"/>
        <w:ind w:left="720" w:hanging="360"/>
      </w:pPr>
      <w:hyperlink r:id="rId53">
        <w:r w:rsidDel="00000000" w:rsidR="00000000" w:rsidRPr="00000000">
          <w:rPr>
            <w:color w:val="1155cc"/>
            <w:u w:val="single"/>
            <w:rtl w:val="0"/>
          </w:rPr>
          <w:t xml:space="preserve">https://www.wsj.com/market-data/quotes/CN/XSHE/000786/research-ratings</w:t>
        </w:r>
      </w:hyperlink>
      <w:r w:rsidDel="00000000" w:rsidR="00000000" w:rsidRPr="00000000">
        <w:rPr>
          <w:rtl w:val="0"/>
        </w:rPr>
      </w:r>
    </w:p>
    <w:p w:rsidR="00000000" w:rsidDel="00000000" w:rsidP="00000000" w:rsidRDefault="00000000" w:rsidRPr="00000000" w14:paraId="0000008A">
      <w:pPr>
        <w:numPr>
          <w:ilvl w:val="0"/>
          <w:numId w:val="7"/>
        </w:numPr>
        <w:spacing w:after="0" w:afterAutospacing="0" w:before="0" w:beforeAutospacing="0" w:lineRule="auto"/>
        <w:ind w:left="720" w:hanging="360"/>
      </w:pPr>
      <w:hyperlink r:id="rId54">
        <w:r w:rsidDel="00000000" w:rsidR="00000000" w:rsidRPr="00000000">
          <w:rPr>
            <w:color w:val="1155cc"/>
            <w:u w:val="single"/>
            <w:rtl w:val="0"/>
          </w:rPr>
          <w:t xml:space="preserve">https://www.moomoo.com/stock/000786-SZ/forecast</w:t>
        </w:r>
      </w:hyperlink>
      <w:r w:rsidDel="00000000" w:rsidR="00000000" w:rsidRPr="00000000">
        <w:rPr>
          <w:rtl w:val="0"/>
        </w:rPr>
      </w:r>
    </w:p>
    <w:p w:rsidR="00000000" w:rsidDel="00000000" w:rsidP="00000000" w:rsidRDefault="00000000" w:rsidRPr="00000000" w14:paraId="0000008B">
      <w:pPr>
        <w:numPr>
          <w:ilvl w:val="0"/>
          <w:numId w:val="7"/>
        </w:numPr>
        <w:spacing w:after="0" w:afterAutospacing="0" w:before="0" w:beforeAutospacing="0" w:lineRule="auto"/>
        <w:ind w:left="720" w:hanging="360"/>
      </w:pPr>
      <w:hyperlink r:id="rId55">
        <w:r w:rsidDel="00000000" w:rsidR="00000000" w:rsidRPr="00000000">
          <w:rPr>
            <w:color w:val="1155cc"/>
            <w:u w:val="single"/>
            <w:rtl w:val="0"/>
          </w:rPr>
          <w:t xml:space="preserve">https://www.morningstar.com.au/investments/security/szse/000786</w:t>
        </w:r>
      </w:hyperlink>
      <w:r w:rsidDel="00000000" w:rsidR="00000000" w:rsidRPr="00000000">
        <w:rPr>
          <w:rtl w:val="0"/>
        </w:rPr>
      </w:r>
    </w:p>
    <w:p w:rsidR="00000000" w:rsidDel="00000000" w:rsidP="00000000" w:rsidRDefault="00000000" w:rsidRPr="00000000" w14:paraId="0000008C">
      <w:pPr>
        <w:numPr>
          <w:ilvl w:val="0"/>
          <w:numId w:val="7"/>
        </w:numPr>
        <w:spacing w:after="0" w:afterAutospacing="0" w:before="0" w:beforeAutospacing="0" w:lineRule="auto"/>
        <w:ind w:left="720" w:hanging="360"/>
      </w:pPr>
      <w:hyperlink r:id="rId56">
        <w:r w:rsidDel="00000000" w:rsidR="00000000" w:rsidRPr="00000000">
          <w:rPr>
            <w:color w:val="1155cc"/>
            <w:u w:val="single"/>
            <w:rtl w:val="0"/>
          </w:rPr>
          <w:t xml:space="preserve">https://www.alphaspread.com/security/szse/000786/summary</w:t>
        </w:r>
      </w:hyperlink>
      <w:r w:rsidDel="00000000" w:rsidR="00000000" w:rsidRPr="00000000">
        <w:rPr>
          <w:rtl w:val="0"/>
        </w:rPr>
      </w:r>
    </w:p>
    <w:p w:rsidR="00000000" w:rsidDel="00000000" w:rsidP="00000000" w:rsidRDefault="00000000" w:rsidRPr="00000000" w14:paraId="0000008D">
      <w:pPr>
        <w:numPr>
          <w:ilvl w:val="0"/>
          <w:numId w:val="7"/>
        </w:numPr>
        <w:spacing w:after="0" w:afterAutospacing="0" w:before="0" w:beforeAutospacing="0" w:lineRule="auto"/>
        <w:ind w:left="720" w:hanging="360"/>
      </w:pPr>
      <w:hyperlink r:id="rId57">
        <w:r w:rsidDel="00000000" w:rsidR="00000000" w:rsidRPr="00000000">
          <w:rPr>
            <w:color w:val="1155cc"/>
            <w:u w:val="single"/>
            <w:rtl w:val="0"/>
          </w:rPr>
          <w:t xml:space="preserve">https://www.futunn.com/en/stock/000786-SZ/financials-revenue</w:t>
        </w:r>
      </w:hyperlink>
      <w:r w:rsidDel="00000000" w:rsidR="00000000" w:rsidRPr="00000000">
        <w:rPr>
          <w:rtl w:val="0"/>
        </w:rPr>
      </w:r>
    </w:p>
    <w:p w:rsidR="00000000" w:rsidDel="00000000" w:rsidP="00000000" w:rsidRDefault="00000000" w:rsidRPr="00000000" w14:paraId="0000008E">
      <w:pPr>
        <w:numPr>
          <w:ilvl w:val="0"/>
          <w:numId w:val="7"/>
        </w:numPr>
        <w:spacing w:after="0" w:afterAutospacing="0" w:before="0" w:beforeAutospacing="0" w:lineRule="auto"/>
        <w:ind w:left="720" w:hanging="360"/>
      </w:pPr>
      <w:hyperlink r:id="rId58">
        <w:r w:rsidDel="00000000" w:rsidR="00000000" w:rsidRPr="00000000">
          <w:rPr>
            <w:color w:val="1155cc"/>
            <w:u w:val="single"/>
            <w:rtl w:val="0"/>
          </w:rPr>
          <w:t xml:space="preserve">https://www.bloomberg.com/quote/000786:CH</w:t>
        </w:r>
      </w:hyperlink>
      <w:r w:rsidDel="00000000" w:rsidR="00000000" w:rsidRPr="00000000">
        <w:rPr>
          <w:rtl w:val="0"/>
        </w:rPr>
      </w:r>
    </w:p>
    <w:p w:rsidR="00000000" w:rsidDel="00000000" w:rsidP="00000000" w:rsidRDefault="00000000" w:rsidRPr="00000000" w14:paraId="0000008F">
      <w:pPr>
        <w:numPr>
          <w:ilvl w:val="0"/>
          <w:numId w:val="7"/>
        </w:numPr>
        <w:spacing w:after="240" w:before="0" w:beforeAutospacing="0" w:lineRule="auto"/>
        <w:ind w:left="720" w:hanging="360"/>
      </w:pPr>
      <w:hyperlink r:id="rId59">
        <w:r w:rsidDel="00000000" w:rsidR="00000000" w:rsidRPr="00000000">
          <w:rPr>
            <w:color w:val="1155cc"/>
            <w:u w:val="single"/>
            <w:rtl w:val="0"/>
          </w:rPr>
          <w:t xml:space="preserve">https://dcfmodeling.com/products/000786sz?pr_prod_strat=e5_desc&amp;pr_rec_id=096c5f962&amp;pr_rec_pid=8713090007189&amp;pr_seq=uniform</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erplexity.ai/app/finance/000786.SZ/history" TargetMode="External"/><Relationship Id="rId42" Type="http://schemas.openxmlformats.org/officeDocument/2006/relationships/hyperlink" Target="https://finance.yahoo.com/quote/000786.SZ/profile/" TargetMode="External"/><Relationship Id="rId41" Type="http://schemas.openxmlformats.org/officeDocument/2006/relationships/hyperlink" Target="https://www.wisesheets.io/000786.SZ/dividend-history" TargetMode="External"/><Relationship Id="rId44" Type="http://schemas.openxmlformats.org/officeDocument/2006/relationships/hyperlink" Target="https://www.investing.com/equities/new-material-a" TargetMode="External"/><Relationship Id="rId43" Type="http://schemas.openxmlformats.org/officeDocument/2006/relationships/hyperlink" Target="https://www.reuters.com/markets/companies/000786.SZ/" TargetMode="External"/><Relationship Id="rId46" Type="http://schemas.openxmlformats.org/officeDocument/2006/relationships/hyperlink" Target="https://companiesmarketcap.com/inr/beijing-new-building-materials/revenue/" TargetMode="External"/><Relationship Id="rId45" Type="http://schemas.openxmlformats.org/officeDocument/2006/relationships/hyperlink" Target="https://www.moomoo.com/stock/000786-SZ/financials-key-indic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ing.com/equities/new-material-a" TargetMode="External"/><Relationship Id="rId48" Type="http://schemas.openxmlformats.org/officeDocument/2006/relationships/hyperlink" Target="https://www.moomoo.com/stock/000786-SZ/news/news" TargetMode="External"/><Relationship Id="rId47" Type="http://schemas.openxmlformats.org/officeDocument/2006/relationships/hyperlink" Target="https://www.moomoo.com/stock/000786-SZ/news" TargetMode="External"/><Relationship Id="rId49" Type="http://schemas.openxmlformats.org/officeDocument/2006/relationships/hyperlink" Target="https://stockinvest.us/financials/000786.SZ" TargetMode="External"/><Relationship Id="rId5" Type="http://schemas.openxmlformats.org/officeDocument/2006/relationships/styles" Target="styles.xml"/><Relationship Id="rId6" Type="http://schemas.openxmlformats.org/officeDocument/2006/relationships/hyperlink" Target="https://www.perplexity.ai/app/finance/000786.SZ/history" TargetMode="External"/><Relationship Id="rId7" Type="http://schemas.openxmlformats.org/officeDocument/2006/relationships/hyperlink" Target="https://www.wisesheets.io/000786.SZ/dividend-history" TargetMode="External"/><Relationship Id="rId8" Type="http://schemas.openxmlformats.org/officeDocument/2006/relationships/hyperlink" Target="https://finance.yahoo.com/quote/000786.SZ/profile/" TargetMode="External"/><Relationship Id="rId31" Type="http://schemas.openxmlformats.org/officeDocument/2006/relationships/hyperlink" Target="https://www.investing.com/equities/new-material-a" TargetMode="External"/><Relationship Id="rId30" Type="http://schemas.openxmlformats.org/officeDocument/2006/relationships/hyperlink" Target="https://stockinvest.us/financials/000786.SZ" TargetMode="External"/><Relationship Id="rId33" Type="http://schemas.openxmlformats.org/officeDocument/2006/relationships/hyperlink" Target="https://www.moomoo.com/stock/000786-SZ/news" TargetMode="External"/><Relationship Id="rId32" Type="http://schemas.openxmlformats.org/officeDocument/2006/relationships/hyperlink" Target="https://www.reuters.com/markets/companies/000786.sz/financials" TargetMode="External"/><Relationship Id="rId35" Type="http://schemas.openxmlformats.org/officeDocument/2006/relationships/hyperlink" Target="https://finance.yahoo.com/quote/000786.SZ/" TargetMode="External"/><Relationship Id="rId34" Type="http://schemas.openxmlformats.org/officeDocument/2006/relationships/hyperlink" Target="https://www.moomoo.com/stock/000786-SZ/news/news" TargetMode="External"/><Relationship Id="rId37" Type="http://schemas.openxmlformats.org/officeDocument/2006/relationships/hyperlink" Target="https://www.reuters.com/markets/companies/000786.SZ/" TargetMode="External"/><Relationship Id="rId36" Type="http://schemas.openxmlformats.org/officeDocument/2006/relationships/hyperlink" Target="https://www.wsj.com/market-data/quotes/CN/XSHE/000786/research-ratings" TargetMode="External"/><Relationship Id="rId39" Type="http://schemas.openxmlformats.org/officeDocument/2006/relationships/hyperlink" Target="https://www.wsj.com/market-data/quotes/CN/XSHE/000786/research-ratings" TargetMode="External"/><Relationship Id="rId38" Type="http://schemas.openxmlformats.org/officeDocument/2006/relationships/hyperlink" Target="https://www.moomoo.com/stock/000786-SZ/forecast" TargetMode="External"/><Relationship Id="rId20" Type="http://schemas.openxmlformats.org/officeDocument/2006/relationships/hyperlink" Target="https://www.investing.com/equities/new-material-a" TargetMode="External"/><Relationship Id="rId22" Type="http://schemas.openxmlformats.org/officeDocument/2006/relationships/hyperlink" Target="https://stockinvest.us/financials/000786.SZ" TargetMode="External"/><Relationship Id="rId21" Type="http://schemas.openxmlformats.org/officeDocument/2006/relationships/hyperlink" Target="https://www.moomoo.com/stock/000786-SZ/news/news" TargetMode="External"/><Relationship Id="rId24" Type="http://schemas.openxmlformats.org/officeDocument/2006/relationships/hyperlink" Target="https://stockinvest.us/financials/000786.SZ" TargetMode="External"/><Relationship Id="rId23" Type="http://schemas.openxmlformats.org/officeDocument/2006/relationships/hyperlink" Target="https://stockinvest.us/financials/000786.SZ" TargetMode="External"/><Relationship Id="rId26" Type="http://schemas.openxmlformats.org/officeDocument/2006/relationships/hyperlink" Target="https://www.moomoo.com/stock/000786-SZ/news" TargetMode="External"/><Relationship Id="rId25" Type="http://schemas.openxmlformats.org/officeDocument/2006/relationships/hyperlink" Target="https://stockinvest.us/financials/000786.SZ" TargetMode="External"/><Relationship Id="rId28" Type="http://schemas.openxmlformats.org/officeDocument/2006/relationships/hyperlink" Target="https://www.moomoo.com/stock/000786-SZ/news/news" TargetMode="External"/><Relationship Id="rId27" Type="http://schemas.openxmlformats.org/officeDocument/2006/relationships/hyperlink" Target="https://www.moomoo.com/stock/000786-SZ/news/news" TargetMode="External"/><Relationship Id="rId29" Type="http://schemas.openxmlformats.org/officeDocument/2006/relationships/hyperlink" Target="https://www.wisesheets.io/000786.SZ/dividend-history" TargetMode="External"/><Relationship Id="rId51" Type="http://schemas.openxmlformats.org/officeDocument/2006/relationships/hyperlink" Target="https://finance.yahoo.com/quote/000786.SZ/" TargetMode="External"/><Relationship Id="rId50" Type="http://schemas.openxmlformats.org/officeDocument/2006/relationships/hyperlink" Target="https://www.reuters.com/markets/companies/000786.sz/financials" TargetMode="External"/><Relationship Id="rId53" Type="http://schemas.openxmlformats.org/officeDocument/2006/relationships/hyperlink" Target="https://www.wsj.com/market-data/quotes/CN/XSHE/000786/research-ratings" TargetMode="External"/><Relationship Id="rId52" Type="http://schemas.openxmlformats.org/officeDocument/2006/relationships/hyperlink" Target="https://ca.finance.yahoo.com/quote/000786.SZ/analysis" TargetMode="External"/><Relationship Id="rId11" Type="http://schemas.openxmlformats.org/officeDocument/2006/relationships/hyperlink" Target="https://www.moomoo.com/stock/000786-SZ/news" TargetMode="External"/><Relationship Id="rId55" Type="http://schemas.openxmlformats.org/officeDocument/2006/relationships/hyperlink" Target="https://www.morningstar.com.au/investments/security/szse/000786" TargetMode="External"/><Relationship Id="rId10" Type="http://schemas.openxmlformats.org/officeDocument/2006/relationships/hyperlink" Target="https://companiesmarketcap.com/inr/beijing-new-building-materials/revenue/" TargetMode="External"/><Relationship Id="rId54" Type="http://schemas.openxmlformats.org/officeDocument/2006/relationships/hyperlink" Target="https://www.moomoo.com/stock/000786-SZ/forecast" TargetMode="External"/><Relationship Id="rId13" Type="http://schemas.openxmlformats.org/officeDocument/2006/relationships/hyperlink" Target="https://stockinvest.us/financials/000786.SZ" TargetMode="External"/><Relationship Id="rId57" Type="http://schemas.openxmlformats.org/officeDocument/2006/relationships/hyperlink" Target="https://www.futunn.com/en/stock/000786-SZ/financials-revenue" TargetMode="External"/><Relationship Id="rId12" Type="http://schemas.openxmlformats.org/officeDocument/2006/relationships/hyperlink" Target="https://www.moomoo.com/stock/000786-SZ/news/news" TargetMode="External"/><Relationship Id="rId56" Type="http://schemas.openxmlformats.org/officeDocument/2006/relationships/hyperlink" Target="https://www.alphaspread.com/security/szse/000786/summary" TargetMode="External"/><Relationship Id="rId15" Type="http://schemas.openxmlformats.org/officeDocument/2006/relationships/hyperlink" Target="https://www.wisesheets.io/000786.SZ/dividend-history" TargetMode="External"/><Relationship Id="rId59" Type="http://schemas.openxmlformats.org/officeDocument/2006/relationships/hyperlink" Target="https://dcfmodeling.com/products/000786sz?pr_prod_strat=e5_desc&amp;pr_rec_id=096c5f962&amp;pr_rec_pid=8713090007189&amp;pr_seq=uniform" TargetMode="External"/><Relationship Id="rId14" Type="http://schemas.openxmlformats.org/officeDocument/2006/relationships/hyperlink" Target="https://stockinvest.us/financials/000786.SZ" TargetMode="External"/><Relationship Id="rId58" Type="http://schemas.openxmlformats.org/officeDocument/2006/relationships/hyperlink" Target="https://www.bloomberg.com/quote/000786:CH" TargetMode="External"/><Relationship Id="rId17" Type="http://schemas.openxmlformats.org/officeDocument/2006/relationships/hyperlink" Target="https://www.investing.com/equities/new-material-a" TargetMode="External"/><Relationship Id="rId16" Type="http://schemas.openxmlformats.org/officeDocument/2006/relationships/hyperlink" Target="https://www.moomoo.com/stock/000786-SZ/news" TargetMode="External"/><Relationship Id="rId19" Type="http://schemas.openxmlformats.org/officeDocument/2006/relationships/hyperlink" Target="https://www.wisesheets.io/000786.SZ/dividend-history" TargetMode="External"/><Relationship Id="rId18" Type="http://schemas.openxmlformats.org/officeDocument/2006/relationships/hyperlink" Target="https://stockinvest.us/financials/000786.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