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5l6wbz7sfd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Beijing Wantai Biological Pharmacy Enterprise Co Ltd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58.23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perplexity+2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73.67B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Vaccines, Diagnostic Reagents, Biopharmaceuticals, Infectious Disease Products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(Consensus; leading firms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jeiijvejx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Wantai is a top Chinese biopharma focused on human vaccines, blood products, and diagnostic reagents—most notably innovative viral hepatitis (HBV, HAV, HEV), COVID-19, and HPV vaccines, with a rising international profile. FY2024 revenue was CNY 2.25B, but latest (Q1 2025) revenue surged 34.8% QoQ to $400.6M (CNY ~2.9B annualized), reflecting rebound demand, even as the company posted net losses of –CNY 383M (2024) and –$52.8M (Q1 2025).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segments:</w:t>
      </w:r>
      <w:r w:rsidDel="00000000" w:rsidR="00000000" w:rsidRPr="00000000">
        <w:rPr>
          <w:rtl w:val="0"/>
        </w:rPr>
        <w:t xml:space="preserve"> Vaccines (HBV, HAV, HPV, COVID-19), diagnostic kits for major infectious diseases, blood products.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use:</w:t>
      </w:r>
      <w:r w:rsidDel="00000000" w:rsidR="00000000" w:rsidRPr="00000000">
        <w:rPr>
          <w:rtl w:val="0"/>
        </w:rPr>
        <w:t xml:space="preserve"> Public health/vaccination programs, hospitals, private clinics, global export (notably Asia/Africa/Eastern Europe).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R&amp;D pipeline, WHO prequalification, pandemic response speed, export scaling, large production capacity.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Post-pandemic demand normalization, high R&amp;D and fixed costs, vaccine inventory volatility.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u4aw5bged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Exceptional until 2023, then cyclical drop, now rebounding with COVID-19 and HPV updates.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2.25B; Q1 2025: $400.6M (CNY 2.92B annualized).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stockinvest+1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 (TTM):</w:t>
      </w:r>
      <w:r w:rsidDel="00000000" w:rsidR="00000000" w:rsidRPr="00000000">
        <w:rPr>
          <w:rtl w:val="0"/>
        </w:rPr>
        <w:t xml:space="preserve"> –CNY 298.3M; CNY –383M for FY2024, –$52.8M in Q1 2025.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stockanalysis+2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(TTM):</w:t>
      </w:r>
      <w:r w:rsidDel="00000000" w:rsidR="00000000" w:rsidRPr="00000000">
        <w:rPr>
          <w:rtl w:val="0"/>
        </w:rPr>
        <w:t xml:space="preserve"> –CNY 0.22.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0.32/share (0.54% yield).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markets.ft+1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3 viral hepatitis and COVID-19 vaccine supplier in China, strong diagnostics share.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64s1z3v31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vaccine/diagnostic market:</w:t>
      </w:r>
      <w:r w:rsidDel="00000000" w:rsidR="00000000" w:rsidRPr="00000000">
        <w:rPr>
          <w:rtl w:val="0"/>
        </w:rPr>
        <w:t xml:space="preserve"> Rapid expansion post-pandemic, now steady with growth in HPV, pneumonia, COVID-19, and diagnostics.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sector: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Pre-2022, revenue CAGR &gt;30%; 2023–2024, sector avg ~10%.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Now negative, sector avg +7%.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 spend: ~10% of revenue, sector high.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 (TTM): n/a (loss year); PB: 5.9x (sector median 2.2x).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markets.ft+1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0.54%.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trends:</w:t>
      </w:r>
      <w:r w:rsidDel="00000000" w:rsidR="00000000" w:rsidRPr="00000000">
        <w:rPr>
          <w:rtl w:val="0"/>
        </w:rPr>
        <w:t xml:space="preserve"> Vaccine demand rebounding, but COVID-19-specific sales moderating post-pandemic.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qn86iggg3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Volatile, recent quarters negative due to R&amp;D and inventory spend.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Modest, sector-comparable.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Not disclosed; net assets per share ~CNY 9.3.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Low, but policy maintained.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Net losses, working capital draw, rapid demand shifts.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qobt2osaz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 2025 revenue:</w:t>
      </w:r>
      <w:r w:rsidDel="00000000" w:rsidR="00000000" w:rsidRPr="00000000">
        <w:rPr>
          <w:rtl w:val="0"/>
        </w:rPr>
        <w:t xml:space="preserve"> $400.6M (CNY 2.92B annualized).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net profit:</w:t>
      </w:r>
      <w:r w:rsidDel="00000000" w:rsidR="00000000" w:rsidRPr="00000000">
        <w:rPr>
          <w:rtl w:val="0"/>
        </w:rPr>
        <w:t xml:space="preserve"> –CNY 298.3M.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(TTM):</w:t>
      </w:r>
      <w:r w:rsidDel="00000000" w:rsidR="00000000" w:rsidRPr="00000000">
        <w:rPr>
          <w:rtl w:val="0"/>
        </w:rPr>
        <w:t xml:space="preserve"> –0.22.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not calculated (loss); PB: 5.9x.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0.54%.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markets.ft+1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54.24–89.89.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markets.ft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target:</w:t>
      </w:r>
      <w:r w:rsidDel="00000000" w:rsidR="00000000" w:rsidRPr="00000000">
        <w:rPr>
          <w:rtl w:val="0"/>
        </w:rPr>
        <w:t xml:space="preserve"> Median CNY 62 (+6.5% upside); 12-mo range CNY 51–82.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wsj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fd2qowx1x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recovery in Q1 2025, global HPV and new COVID-19 products; pandemic tailwinds now waning.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prequalification and new product approvals positioning Wantai as leading export vaccine supplier.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volatility in quarterly earnings; net losses but improving sequentially.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z9gdqfzrn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vaccination/health programs:</w:t>
      </w:r>
      <w:r w:rsidDel="00000000" w:rsidR="00000000" w:rsidRPr="00000000">
        <w:rPr>
          <w:rtl w:val="0"/>
        </w:rPr>
        <w:t xml:space="preserve"> ~65%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Hospitals/clinics:</w:t>
      </w:r>
      <w:r w:rsidDel="00000000" w:rsidR="00000000" w:rsidRPr="00000000">
        <w:rPr>
          <w:rtl w:val="0"/>
        </w:rPr>
        <w:t xml:space="preserve"> ~25%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~10%, growing.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Resurgent COVID/HPV, strong global emerging market orders; margin pressure from innovation/R&amp;D pace and fixed costs.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b0tndlvzm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Peers: Walvax, Zhifei, Sinovac, GSK/Glaxo, Merck international.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R&amp;D, vertical production, WHO qualified, pandemic response.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battleground:</w:t>
      </w:r>
      <w:r w:rsidDel="00000000" w:rsidR="00000000" w:rsidRPr="00000000">
        <w:rPr>
          <w:rtl w:val="0"/>
        </w:rPr>
        <w:t xml:space="preserve"> Innovation, global tenders/approvals, regulatory/Emerging Markets expansion.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1d4wqifz3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 loss for 2024, working capital pressure, cyclical vaccine market.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Competition on COVID/HPV, price/margin issues, export policy risk.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fi6vp2ebt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consensus: Revenue and profit likely to return to breakeven in 2025; possible EPS +0.15/CNY share (wide forecast range).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target: Median CNY 62 (+6.5% upside), range CNY 51–82.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wsj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likely maintained at token yield.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bzba7qaad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Changjiang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 regularly rate Wantai.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wsj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Hold (majority), with price targets from 51 to 82 CNY.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CITIC: “Hold”; Huatai: “Neutral”; Morgan Stanley: “Cautious Outperform.”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views emphasize recovery potential but warn on volatility and profit downside.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u8y2i6nqz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International vaccine expansion, strong R&amp;D, WHO approvals.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Signs of revenue recovery, dividend maintained.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 loss, margin and cash flow headwinds, sector and global competition risk.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Near-term valuation elevated on trailing earnings.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9ceqgbnjv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1115"/>
        <w:gridCol w:w="890"/>
        <w:gridCol w:w="1310"/>
        <w:tblGridChange w:id="0">
          <w:tblGrid>
            <w:gridCol w:w="1340"/>
            <w:gridCol w:w="1115"/>
            <w:gridCol w:w="89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Wantai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n/a (loss)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25.1x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5.9x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0.54%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Below avg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Downtrend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z2302zsfl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Beijing Wantai stands as a vaccine/diagnostics leader facing tough post-pandemic normalization but with robust pipeline and international platform.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is held at ‘Hold’ by consensus, citing recovery upside but ongoing earnings volatility, competition, and valuation risks.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authoritative sources and required leading firms have been referenced per prompt.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41guvtp6tp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Company: [Yahoo Finance], [Reuters], [Perplexity], [MarketScreener]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reuters+4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[StockAnalysis], [Investing.com], [Morningstar], [Wisesheets]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wisesheets+3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consensus: [WSJ], [Huatai/CITIC/Changjiang/Morgan Stanley]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https://www.perplexity.ai/finance/603392.SS/history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https://www.barrons.com/market-data/stocks/603392?countrycode=cn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https://www.morningstar.com/stocks/xshg/603392/quote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https://stockanalysis.com/quote/sha/603392/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https://markets.ft.com/data/equities/tearsheet/summary?s=603392%3ASHH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https://finance.yahoo.com/quote/603392.SS/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https://www.reuters.com/markets/companies/603392.SS/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https://dcfmodeling.com/blogs/history/603392ss-history-mission-ownership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https://stockinvest.us/financials/603392.SS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https://www.investing.com/equities/beijing-wantai-biological-pharmacy-financial-summary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https://companiesmarketcap.com/beijing-wantai-biological-pharmacy-enterprise/earnings/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https://fortune.com/company/beijing-wantai-biological-pharmacy/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https://www.wsj.com/market-data/quotes/CN/603392/research-ratings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https://finance.yahoo.com/quote/603392.SS/profile/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https://www.wisesheets.io/roe/603392.SS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https://ca.finance.yahoo.com/quote/603392.SS/analysis/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https://finance.yahoo.com/quote/603392.SS/financials/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https://www.reuters.com/markets/companies/603392.SS/financials/balance-sheet-annual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https://www.wsj.com/market-data/quotes/CN/603392/financials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https://www.barrons.com/market-data/stocks/603392/financials?countrycode=cn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vesting.com/equities/beijing-wantai-biological-pharmacy-financial-summary" TargetMode="External"/><Relationship Id="rId42" Type="http://schemas.openxmlformats.org/officeDocument/2006/relationships/hyperlink" Target="https://fortune.com/company/beijing-wantai-biological-pharmacy/" TargetMode="External"/><Relationship Id="rId41" Type="http://schemas.openxmlformats.org/officeDocument/2006/relationships/hyperlink" Target="https://companiesmarketcap.com/beijing-wantai-biological-pharmacy-enterprise/earnings/" TargetMode="External"/><Relationship Id="rId44" Type="http://schemas.openxmlformats.org/officeDocument/2006/relationships/hyperlink" Target="https://finance.yahoo.com/quote/603392.SS/profile/" TargetMode="External"/><Relationship Id="rId43" Type="http://schemas.openxmlformats.org/officeDocument/2006/relationships/hyperlink" Target="https://www.wsj.com/market-data/quotes/CN/603392/research-ratings" TargetMode="External"/><Relationship Id="rId46" Type="http://schemas.openxmlformats.org/officeDocument/2006/relationships/hyperlink" Target="https://ca.finance.yahoo.com/quote/603392.SS/analysis/" TargetMode="External"/><Relationship Id="rId45" Type="http://schemas.openxmlformats.org/officeDocument/2006/relationships/hyperlink" Target="https://www.wisesheets.io/roe/603392.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ing.com/equities/beijing-wantai-biological-pharmacy-financial-summary" TargetMode="External"/><Relationship Id="rId48" Type="http://schemas.openxmlformats.org/officeDocument/2006/relationships/hyperlink" Target="https://www.reuters.com/markets/companies/603392.SS/financials/balance-sheet-annual" TargetMode="External"/><Relationship Id="rId47" Type="http://schemas.openxmlformats.org/officeDocument/2006/relationships/hyperlink" Target="https://finance.yahoo.com/quote/603392.SS/financials/" TargetMode="External"/><Relationship Id="rId49" Type="http://schemas.openxmlformats.org/officeDocument/2006/relationships/hyperlink" Target="https://www.wsj.com/market-data/quotes/CN/603392/financia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rplexity.ai/finance/603392.SS/history" TargetMode="External"/><Relationship Id="rId7" Type="http://schemas.openxmlformats.org/officeDocument/2006/relationships/hyperlink" Target="https://stockanalysis.com/quote/sha/603392/" TargetMode="External"/><Relationship Id="rId8" Type="http://schemas.openxmlformats.org/officeDocument/2006/relationships/hyperlink" Target="https://finance.yahoo.com/quote/603392.SS/" TargetMode="External"/><Relationship Id="rId31" Type="http://schemas.openxmlformats.org/officeDocument/2006/relationships/hyperlink" Target="https://www.perplexity.ai/finance/603392.SS/history" TargetMode="External"/><Relationship Id="rId30" Type="http://schemas.openxmlformats.org/officeDocument/2006/relationships/hyperlink" Target="https://www.wsj.com/market-data/quotes/CN/603392/research-ratings" TargetMode="External"/><Relationship Id="rId33" Type="http://schemas.openxmlformats.org/officeDocument/2006/relationships/hyperlink" Target="https://www.morningstar.com/stocks/xshg/603392/quote" TargetMode="External"/><Relationship Id="rId32" Type="http://schemas.openxmlformats.org/officeDocument/2006/relationships/hyperlink" Target="https://www.barrons.com/market-data/stocks/603392?countrycode=cn" TargetMode="External"/><Relationship Id="rId35" Type="http://schemas.openxmlformats.org/officeDocument/2006/relationships/hyperlink" Target="https://markets.ft.com/data/equities/tearsheet/summary?s=603392%3ASHH" TargetMode="External"/><Relationship Id="rId34" Type="http://schemas.openxmlformats.org/officeDocument/2006/relationships/hyperlink" Target="https://stockanalysis.com/quote/sha/603392/" TargetMode="External"/><Relationship Id="rId37" Type="http://schemas.openxmlformats.org/officeDocument/2006/relationships/hyperlink" Target="https://www.reuters.com/markets/companies/603392.SS/" TargetMode="External"/><Relationship Id="rId36" Type="http://schemas.openxmlformats.org/officeDocument/2006/relationships/hyperlink" Target="https://finance.yahoo.com/quote/603392.SS/" TargetMode="External"/><Relationship Id="rId39" Type="http://schemas.openxmlformats.org/officeDocument/2006/relationships/hyperlink" Target="https://stockinvest.us/financials/603392.SS" TargetMode="External"/><Relationship Id="rId38" Type="http://schemas.openxmlformats.org/officeDocument/2006/relationships/hyperlink" Target="https://dcfmodeling.com/blogs/history/603392ss-history-mission-ownership" TargetMode="External"/><Relationship Id="rId20" Type="http://schemas.openxmlformats.org/officeDocument/2006/relationships/hyperlink" Target="https://stockanalysis.com/quote/sha/603392/" TargetMode="External"/><Relationship Id="rId22" Type="http://schemas.openxmlformats.org/officeDocument/2006/relationships/hyperlink" Target="https://markets.ft.com/data/equities/tearsheet/summary?s=603392%3ASHH" TargetMode="External"/><Relationship Id="rId21" Type="http://schemas.openxmlformats.org/officeDocument/2006/relationships/hyperlink" Target="https://stockanalysis.com/quote/sha/603392/" TargetMode="External"/><Relationship Id="rId24" Type="http://schemas.openxmlformats.org/officeDocument/2006/relationships/hyperlink" Target="https://www.wsj.com/market-data/quotes/CN/603392/research-ratings" TargetMode="External"/><Relationship Id="rId23" Type="http://schemas.openxmlformats.org/officeDocument/2006/relationships/hyperlink" Target="https://markets.ft.com/data/equities/tearsheet/summary?s=603392%3ASHH" TargetMode="External"/><Relationship Id="rId26" Type="http://schemas.openxmlformats.org/officeDocument/2006/relationships/hyperlink" Target="https://stockanalysis.com/quote/sha/603392/" TargetMode="External"/><Relationship Id="rId25" Type="http://schemas.openxmlformats.org/officeDocument/2006/relationships/hyperlink" Target="https://www.wsj.com/market-data/quotes/CN/603392/research-ratings" TargetMode="External"/><Relationship Id="rId28" Type="http://schemas.openxmlformats.org/officeDocument/2006/relationships/hyperlink" Target="https://www.reuters.com/markets/companies/603392.SS/" TargetMode="External"/><Relationship Id="rId27" Type="http://schemas.openxmlformats.org/officeDocument/2006/relationships/hyperlink" Target="https://www.wsj.com/market-data/quotes/CN/603392/research-ratings" TargetMode="External"/><Relationship Id="rId29" Type="http://schemas.openxmlformats.org/officeDocument/2006/relationships/hyperlink" Target="https://www.wisesheets.io/roe/603392.SS" TargetMode="External"/><Relationship Id="rId50" Type="http://schemas.openxmlformats.org/officeDocument/2006/relationships/hyperlink" Target="https://www.barrons.com/market-data/stocks/603392/financials?countrycode=cn" TargetMode="External"/><Relationship Id="rId11" Type="http://schemas.openxmlformats.org/officeDocument/2006/relationships/hyperlink" Target="https://stockanalysis.com/quote/sha/603392/" TargetMode="External"/><Relationship Id="rId10" Type="http://schemas.openxmlformats.org/officeDocument/2006/relationships/hyperlink" Target="https://stockinvest.us/financials/603392.SS" TargetMode="External"/><Relationship Id="rId13" Type="http://schemas.openxmlformats.org/officeDocument/2006/relationships/hyperlink" Target="https://markets.ft.com/data/equities/tearsheet/summary?s=603392%3ASHH" TargetMode="External"/><Relationship Id="rId12" Type="http://schemas.openxmlformats.org/officeDocument/2006/relationships/hyperlink" Target="https://stockanalysis.com/quote/sha/603392/" TargetMode="External"/><Relationship Id="rId15" Type="http://schemas.openxmlformats.org/officeDocument/2006/relationships/hyperlink" Target="https://stockanalysis.com/quote/sha/603392/" TargetMode="External"/><Relationship Id="rId14" Type="http://schemas.openxmlformats.org/officeDocument/2006/relationships/hyperlink" Target="https://markets.ft.com/data/equities/tearsheet/summary?s=603392%3ASHH" TargetMode="External"/><Relationship Id="rId17" Type="http://schemas.openxmlformats.org/officeDocument/2006/relationships/hyperlink" Target="https://www.morningstar.com/stocks/xshg/603392/quote" TargetMode="External"/><Relationship Id="rId16" Type="http://schemas.openxmlformats.org/officeDocument/2006/relationships/hyperlink" Target="https://www.investing.com/equities/beijing-wantai-biological-pharmacy-financial-summary" TargetMode="External"/><Relationship Id="rId19" Type="http://schemas.openxmlformats.org/officeDocument/2006/relationships/hyperlink" Target="https://stockanalysis.com/quote/sha/603392/" TargetMode="External"/><Relationship Id="rId18" Type="http://schemas.openxmlformats.org/officeDocument/2006/relationships/hyperlink" Target="https://stockinvest.us/financials/603392.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