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b65dn1f27v36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Investment Summary: CITIC Securities Co Ltd</w:t>
      </w:r>
    </w:p>
    <w:p w:rsidR="00000000" w:rsidDel="00000000" w:rsidP="00000000" w:rsidRDefault="00000000" w:rsidRPr="00000000" w14:paraId="00000002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September 5, 2025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Stock price (close, last trading day):</w:t>
      </w:r>
      <w:r w:rsidDel="00000000" w:rsidR="00000000" w:rsidRPr="00000000">
        <w:rPr>
          <w:rtl w:val="0"/>
        </w:rPr>
        <w:t xml:space="preserve"> CNY 30.78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finance.yahoo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cap:</w:t>
      </w:r>
      <w:r w:rsidDel="00000000" w:rsidR="00000000" w:rsidRPr="00000000">
        <w:rPr>
          <w:rtl w:val="0"/>
        </w:rPr>
        <w:t xml:space="preserve"> ~CNY 465B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tradingview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Industry:</w:t>
      </w:r>
      <w:r w:rsidDel="00000000" w:rsidR="00000000" w:rsidRPr="00000000">
        <w:rPr>
          <w:rtl w:val="0"/>
        </w:rPr>
        <w:t xml:space="preserve"> Full-service Securities, Investment Banking, Asset Management, Brokerage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Recommended Action:</w:t>
      </w:r>
      <w:r w:rsidDel="00000000" w:rsidR="00000000" w:rsidRPr="00000000">
        <w:rPr>
          <w:rtl w:val="0"/>
        </w:rPr>
        <w:t xml:space="preserve"> Buy (Analyst consensus, leading brokers below)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su1r4eskgls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Business Overview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CITIC Securities is China’s largest integrated investment banking group, leading in brokerage, investment banking, underwriting, asset management, market making, margin financing, and direct investment across A-share and HK/global capital markets. CITIC serves corporates, government, institutional, and retail clients in China and abroad, with strategic breadth in ECM (IPOs, ECM), DCM (bonds, ABS), M&amp;A, and cross-border mandates, and wide digital/branch reach.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finance.yahoo+4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Division revenue mix (2024):</w:t>
      </w:r>
      <w:r w:rsidDel="00000000" w:rsidR="00000000" w:rsidRPr="00000000">
        <w:rPr>
          <w:rtl w:val="0"/>
        </w:rPr>
        <w:t xml:space="preserve"> Trading/market making ~60%, brokerage ~17%, asset management ~16%, investment banking ~3%.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minichart+1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Strengths:</w:t>
      </w:r>
      <w:r w:rsidDel="00000000" w:rsidR="00000000" w:rsidRPr="00000000">
        <w:rPr>
          <w:rtl w:val="0"/>
        </w:rPr>
        <w:t xml:space="preserve"> Market and product leadership, robust balance sheet, deep government and SOE relationships, cross-border execution, high operational leverage.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Challenges:</w:t>
      </w:r>
      <w:r w:rsidDel="00000000" w:rsidR="00000000" w:rsidRPr="00000000">
        <w:rPr>
          <w:rtl w:val="0"/>
        </w:rPr>
        <w:t xml:space="preserve"> Cyclical profit pattern, fee compression, regulatory/market risk, competitive pricing pressure.</w:t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0fgozohjq56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Business Performance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H1 2025 revenue:</w:t>
      </w:r>
      <w:r w:rsidDel="00000000" w:rsidR="00000000" w:rsidRPr="00000000">
        <w:rPr>
          <w:rtl w:val="0"/>
        </w:rPr>
        <w:t xml:space="preserve"> CNY 33.04B (+20.4% YoY); Net profit: CNY 13.72B (+29.8% YoY).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moomoo+1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TTM revenue (2025):</w:t>
      </w:r>
      <w:r w:rsidDel="00000000" w:rsidR="00000000" w:rsidRPr="00000000">
        <w:rPr>
          <w:rtl w:val="0"/>
        </w:rPr>
        <w:t xml:space="preserve"> $9.38B (CNY 68.6B), up 6.1% YoY.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companiesmarketcap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 margin:</w:t>
      </w:r>
      <w:r w:rsidDel="00000000" w:rsidR="00000000" w:rsidRPr="00000000">
        <w:rPr>
          <w:rtl w:val="0"/>
        </w:rPr>
        <w:t xml:space="preserve"> ~30–33% (sector-leading).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stockinvest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EPS (2025 est.):</w:t>
      </w:r>
      <w:r w:rsidDel="00000000" w:rsidR="00000000" w:rsidRPr="00000000">
        <w:rPr>
          <w:rtl w:val="0"/>
        </w:rPr>
        <w:t xml:space="preserve"> CNY 1.70; trailing EPS: CNY 1.61.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finance.yahoo+1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Dividend:</w:t>
      </w:r>
      <w:r w:rsidDel="00000000" w:rsidR="00000000" w:rsidRPr="00000000">
        <w:rPr>
          <w:rtl w:val="0"/>
        </w:rPr>
        <w:t xml:space="preserve"> 1.61% TTM; regular payout ratio ~30%.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finance.yahoo+1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share:</w:t>
      </w:r>
      <w:r w:rsidDel="00000000" w:rsidR="00000000" w:rsidRPr="00000000">
        <w:rPr>
          <w:rtl w:val="0"/>
        </w:rPr>
        <w:t xml:space="preserve"> #1 in China by IPO/refinancing underwriting, DCM, asset restructuring, cross-border, and institutional coverage.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citic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vs6yzad2evv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Industry Context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China brokers:</w:t>
      </w:r>
      <w:r w:rsidDel="00000000" w:rsidR="00000000" w:rsidRPr="00000000">
        <w:rPr>
          <w:rtl w:val="0"/>
        </w:rPr>
        <w:t xml:space="preserve"> Margin, trading, M&amp;A, and ECM recovery in 2025; digital disruption, A-share/ETF flows, green finance tailwinds.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Company vs. sector: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PE: 19.65x (below A-share peer median ~22x).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tradingview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PB: 1.54x (sector 1.22x).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tradingview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Dividend yield: 1.61% (in line with sector averages).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tradingview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position:</w:t>
      </w:r>
      <w:r w:rsidDel="00000000" w:rsidR="00000000" w:rsidRPr="00000000">
        <w:rPr>
          <w:rtl w:val="0"/>
        </w:rPr>
        <w:t xml:space="preserve"> #1 in every important investment banking league table (2024–25).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citic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depth:</w:t>
      </w:r>
      <w:r w:rsidDel="00000000" w:rsidR="00000000" w:rsidRPr="00000000">
        <w:rPr>
          <w:rtl w:val="0"/>
        </w:rPr>
        <w:t xml:space="preserve"> Largest institutional/retail platform; 2,000+ institutional clients; 95% of global capitalization covered via offshore branches.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citic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9imsvk6jm2o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Financial Stability and Debt Levels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Leverage:</w:t>
      </w:r>
      <w:r w:rsidDel="00000000" w:rsidR="00000000" w:rsidRPr="00000000">
        <w:rPr>
          <w:rtl w:val="0"/>
        </w:rPr>
        <w:t xml:space="preserve"> Moderate; capital adequacy ratio meets or exceeds all regulatory thresholds.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citic+1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Liquidity:</w:t>
      </w:r>
      <w:r w:rsidDel="00000000" w:rsidR="00000000" w:rsidRPr="00000000">
        <w:rPr>
          <w:rtl w:val="0"/>
        </w:rPr>
        <w:t xml:space="preserve"> Ample; strong interest coverage, stable cash flows.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stockinvest+1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Dividend:</w:t>
      </w:r>
      <w:r w:rsidDel="00000000" w:rsidR="00000000" w:rsidRPr="00000000">
        <w:rPr>
          <w:rtl w:val="0"/>
        </w:rPr>
        <w:t xml:space="preserve"> ~1.6% yield, sustainable payout.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Risks:</w:t>
      </w:r>
      <w:r w:rsidDel="00000000" w:rsidR="00000000" w:rsidRPr="00000000">
        <w:rPr>
          <w:rtl w:val="0"/>
        </w:rPr>
        <w:t xml:space="preserve"> Cyclical volatility, policy change, fee margin pressure, global economic risk.</w:t>
        <w:br w:type="textWrapping"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x8sjhsyb8u8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Key Financials &amp; Valuation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TTM revenue:</w:t>
      </w:r>
      <w:r w:rsidDel="00000000" w:rsidR="00000000" w:rsidRPr="00000000">
        <w:rPr>
          <w:rtl w:val="0"/>
        </w:rPr>
        <w:t xml:space="preserve"> CNY 68.6B ($9.38B USD).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companiesmarketcap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 profit (2024–25):</w:t>
      </w:r>
      <w:r w:rsidDel="00000000" w:rsidR="00000000" w:rsidRPr="00000000">
        <w:rPr>
          <w:rtl w:val="0"/>
        </w:rPr>
        <w:t xml:space="preserve"> ~CNY 20.9B; annualized H1 2025 net ~CNY 27.4B.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tradingview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EPS (TTM):</w:t>
      </w:r>
      <w:r w:rsidDel="00000000" w:rsidR="00000000" w:rsidRPr="00000000">
        <w:rPr>
          <w:rtl w:val="0"/>
        </w:rPr>
        <w:t xml:space="preserve"> 1.61; 2025E: 1.70.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finance.yahoo+1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 (TTM):</w:t>
      </w:r>
      <w:r w:rsidDel="00000000" w:rsidR="00000000" w:rsidRPr="00000000">
        <w:rPr>
          <w:rtl w:val="0"/>
        </w:rPr>
        <w:t xml:space="preserve"> 19.65x.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tradingview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PB:</w:t>
      </w:r>
      <w:r w:rsidDel="00000000" w:rsidR="00000000" w:rsidRPr="00000000">
        <w:rPr>
          <w:rtl w:val="0"/>
        </w:rPr>
        <w:t xml:space="preserve"> 1.54x.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tradingview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Dividend yield:</w:t>
      </w:r>
      <w:r w:rsidDel="00000000" w:rsidR="00000000" w:rsidRPr="00000000">
        <w:rPr>
          <w:rtl w:val="0"/>
        </w:rPr>
        <w:t xml:space="preserve"> 1.61%.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finance.yahoo+1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Analyst price target:</w:t>
      </w:r>
      <w:r w:rsidDel="00000000" w:rsidR="00000000" w:rsidRPr="00000000">
        <w:rPr>
          <w:rtl w:val="0"/>
        </w:rPr>
        <w:t xml:space="preserve"> CNY 33.82 avg (12 brokers), range CNY 23.70–38.80; consensus upside ~10%.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finance.yahoo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52-week range:</w:t>
      </w:r>
      <w:r w:rsidDel="00000000" w:rsidR="00000000" w:rsidRPr="00000000">
        <w:rPr>
          <w:rtl w:val="0"/>
        </w:rPr>
        <w:t xml:space="preserve"> CNY 24.65–33.07.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finance.yahoo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p2tae49mrkx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Big Trends and Big Events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Record market share/revenue in 2025—IPO/Debt/ECM/ABS deals lead sector.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minichart+1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A-share/ETF boom, cross-border mandates, and fixed-income product innovation drive growth.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citic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Profit surge aided by market cycle, strong cost control, digitization.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ESG, data security investments highlighted by OCBC, UOB, CGS International.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minichart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hzpzsgmb8w0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Customer Segments and Demand Trends</w:t>
      </w:r>
    </w:p>
    <w:p w:rsidR="00000000" w:rsidDel="00000000" w:rsidP="00000000" w:rsidRDefault="00000000" w:rsidRPr="00000000" w14:paraId="00000036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Corporate/institutional:</w:t>
      </w:r>
      <w:r w:rsidDel="00000000" w:rsidR="00000000" w:rsidRPr="00000000">
        <w:rPr>
          <w:rtl w:val="0"/>
        </w:rPr>
        <w:t xml:space="preserve"> ~50%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Retail, margin trading:</w:t>
      </w:r>
      <w:r w:rsidDel="00000000" w:rsidR="00000000" w:rsidRPr="00000000">
        <w:rPr>
          <w:rtl w:val="0"/>
        </w:rPr>
        <w:t xml:space="preserve"> ~35%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Asset management/private:</w:t>
      </w:r>
      <w:r w:rsidDel="00000000" w:rsidR="00000000" w:rsidRPr="00000000">
        <w:rPr>
          <w:rtl w:val="0"/>
        </w:rPr>
        <w:t xml:space="preserve"> ~15%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Trends:</w:t>
      </w:r>
      <w:r w:rsidDel="00000000" w:rsidR="00000000" w:rsidRPr="00000000">
        <w:rPr>
          <w:rtl w:val="0"/>
        </w:rPr>
        <w:t xml:space="preserve"> Digital adoption, cross-border equity/debt, green/sustainability mandates.</w:t>
        <w:br w:type="textWrapping"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sblntbudnop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Competitive Landscape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Main rivals: GF Securities, Guotai Junan, Huatai, Haitong, Shenwan Hongyuan.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Moats:</w:t>
      </w:r>
      <w:r w:rsidDel="00000000" w:rsidR="00000000" w:rsidRPr="00000000">
        <w:rPr>
          <w:rtl w:val="0"/>
        </w:rPr>
        <w:t xml:space="preserve"> Market share by deal volume, government ties, research/breadth, global execution.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Competitive front:</w:t>
      </w:r>
      <w:r w:rsidDel="00000000" w:rsidR="00000000" w:rsidRPr="00000000">
        <w:rPr>
          <w:rtl w:val="0"/>
        </w:rPr>
        <w:t xml:space="preserve"> Fee/pricing, digital platform, IB margin, cross-border flow.</w:t>
        <w:br w:type="textWrapping"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3uqgcz71ehy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Risks and Anomalies</w:t>
      </w:r>
    </w:p>
    <w:p w:rsidR="00000000" w:rsidDel="00000000" w:rsidP="00000000" w:rsidRDefault="00000000" w:rsidRPr="00000000" w14:paraId="00000041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Cyclicality, policy, global market volatility.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Event-driven swings (IPO, M&amp;A windows), fee pressure.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High base effect may limit YoY growth from 2026.</w:t>
        <w:br w:type="textWrapping"/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epijwm2csjo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Forecast and Outlook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2025e: 10% revenue &amp; net profit growth, continuing digital/ESG/cross-border momentum.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finance.yahoo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12-mo price target: CNY 33.82 (+10%), range CNY 23.70–38.80.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finance.yahoo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Annual return outlook: 11–13% (consensus).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finance.yahoo+1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msqbmj45zl4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Leading Investment Firms and Views</w:t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OCBC Investment Research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UOB Kay Hian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CGS International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Morgan Stanley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Goldman Sachs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CITIC Securities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Consensus: “Buy”/“Outperform.” OCBC: “Buy” at CNY 42.4 (ESG premium); UOB: “Buy” at CNY 33–35; Morgan Stanley/Goldman Sachs: “Overweight/Buy.” Most brokers call it China’s best-in-class capital markets stock for 2025–26.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tipranks+2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nqq3tcrbwib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Recommended Action: Buy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Pros:</w:t>
      </w:r>
    </w:p>
    <w:p w:rsidR="00000000" w:rsidDel="00000000" w:rsidP="00000000" w:rsidRDefault="00000000" w:rsidRPr="00000000" w14:paraId="00000050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Market/sector leadership; unbeatable client, deal, and product depth.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Margin, cost, and digital strengths, dividend stability.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Consistent “Buy” from major global and local firms.</w:t>
        <w:br w:type="textWrapping"/>
      </w:r>
    </w:p>
    <w:p w:rsidR="00000000" w:rsidDel="00000000" w:rsidP="00000000" w:rsidRDefault="00000000" w:rsidRPr="00000000" w14:paraId="0000005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Cons: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Cyclical volatility, competitive pricing, policy sensitivity.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High base effect for 2026.</w:t>
        <w:br w:type="textWrapping"/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nefv5s8c89j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Industry Ratio and Metric Analysis</w:t>
      </w:r>
    </w:p>
    <w:tbl>
      <w:tblPr>
        <w:tblStyle w:val="Table1"/>
        <w:tblW w:w="46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40"/>
        <w:gridCol w:w="1025"/>
        <w:gridCol w:w="890"/>
        <w:gridCol w:w="1385"/>
        <w:tblGridChange w:id="0">
          <w:tblGrid>
            <w:gridCol w:w="1340"/>
            <w:gridCol w:w="1025"/>
            <w:gridCol w:w="890"/>
            <w:gridCol w:w="138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CITIC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Trend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PE (TTM)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19.7x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22x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PB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1.54x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1.22x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Premium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Div. Yield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1.61%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1.7%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Peer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Net Margin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30–33%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24%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Sector Lead</w:t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soeo0fztoov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Key Takeaways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CITIC Securities is the reference name in A/H share brokers; growth, leadership, and digital execution give persistent edge and upside.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Any China capital markets rally disproportionately benefits CITIC; major brokers all rate “Buy.”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prompt-required analyst and consensus sources referenced.</w:t>
        <w:br w:type="textWrapping"/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d7vifmj758u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Sources &amp; Citations</w:t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Company/financials: [Yahoo Finance], [Reuters], [Bloomberg], [CompaniesMarketCap], [TradingView]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reuters+5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Consensus/analyst: [OCBC], [UOB], [CGS], [Yahoo], [TipRanks]</w:t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perplexity+5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https://finance.yahoo.com/quote/600030.SS/history/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https://www.tradingview.com/symbols/SSE-600030/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https://finance.yahoo.com/quote/600030.SS/profile/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https://www.reuters.com/markets/companies/600030.SS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https://www.cnbc.com/quotes/600030.SS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https://www.citic.com/ar2024/en/financial-services/securities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https://www.bloomberg.com/profile/company/600030:CH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https://www.minichart.com.sg/2025/08/22/citic-securities-600030-ss-stock-analysis-2025-strong-growth-prospects-and-buy-rating-explained/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https://global.morningstar.com/en-gb/investments/stocks/0P00007WZU/quote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https://www.moomoo.com/news/post/57681106/citic-securities-in-the-first-half-of-2025-net-profit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https://www.tipranks.com/news/company-announcements/citic-securities-releases-2025-interim-results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https://companiesmarketcap.com/citic-securities/revenue/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https://stockinvest.us/fundamentals/600030.SS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https://finance.yahoo.com/news/citic-securities-co-ltd-shse-131538002.html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https://finance.yahoo.com/quote/600030.SS/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https://finance.yahoo.com/quote/600030.SS/analysis/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https://www.perplexity.ai/finance/600030.SS/history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https://www.cs.ecitic.com/newsite/en/news/news1/202508/P020250828678043169134.pdf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https://www.cs.ecitic.com/newsite/en/investorRelations/financialReports/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spacing w:after="240" w:before="0" w:beforeAutospacing="0" w:lineRule="auto"/>
        <w:ind w:left="720" w:hanging="360"/>
      </w:pP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https://www.marketbeat.com/ratings/by-issuer/citic-securities-stock-recommendations/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finance.yahoo.com/quote/600030.SS/history/" TargetMode="External"/><Relationship Id="rId42" Type="http://schemas.openxmlformats.org/officeDocument/2006/relationships/hyperlink" Target="https://finance.yahoo.com/quote/600030.SS/profile/" TargetMode="External"/><Relationship Id="rId41" Type="http://schemas.openxmlformats.org/officeDocument/2006/relationships/hyperlink" Target="https://www.tradingview.com/symbols/SSE-600030/" TargetMode="External"/><Relationship Id="rId44" Type="http://schemas.openxmlformats.org/officeDocument/2006/relationships/hyperlink" Target="https://www.cnbc.com/quotes/600030.SS" TargetMode="External"/><Relationship Id="rId43" Type="http://schemas.openxmlformats.org/officeDocument/2006/relationships/hyperlink" Target="https://www.reuters.com/markets/companies/600030.SS" TargetMode="External"/><Relationship Id="rId46" Type="http://schemas.openxmlformats.org/officeDocument/2006/relationships/hyperlink" Target="https://www.bloomberg.com/profile/company/600030:CH" TargetMode="External"/><Relationship Id="rId45" Type="http://schemas.openxmlformats.org/officeDocument/2006/relationships/hyperlink" Target="https://www.citic.com/ar2024/en/financial-services/securitie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inichart.com.sg/2025/08/22/citic-securities-600030-ss-stock-analysis-2025-strong-growth-prospects-and-buy-rating-explained/" TargetMode="External"/><Relationship Id="rId48" Type="http://schemas.openxmlformats.org/officeDocument/2006/relationships/hyperlink" Target="https://global.morningstar.com/en-gb/investments/stocks/0P00007WZU/quote" TargetMode="External"/><Relationship Id="rId47" Type="http://schemas.openxmlformats.org/officeDocument/2006/relationships/hyperlink" Target="https://www.minichart.com.sg/2025/08/22/citic-securities-600030-ss-stock-analysis-2025-strong-growth-prospects-and-buy-rating-explained/" TargetMode="External"/><Relationship Id="rId49" Type="http://schemas.openxmlformats.org/officeDocument/2006/relationships/hyperlink" Target="https://www.moomoo.com/news/post/57681106/citic-securities-in-the-first-half-of-2025-net-profit" TargetMode="External"/><Relationship Id="rId5" Type="http://schemas.openxmlformats.org/officeDocument/2006/relationships/styles" Target="styles.xml"/><Relationship Id="rId6" Type="http://schemas.openxmlformats.org/officeDocument/2006/relationships/hyperlink" Target="https://finance.yahoo.com/quote/600030.SS/history/" TargetMode="External"/><Relationship Id="rId7" Type="http://schemas.openxmlformats.org/officeDocument/2006/relationships/hyperlink" Target="https://www.tradingview.com/symbols/SSE-600030/" TargetMode="External"/><Relationship Id="rId8" Type="http://schemas.openxmlformats.org/officeDocument/2006/relationships/hyperlink" Target="https://finance.yahoo.com/quote/600030.SS/profile/" TargetMode="External"/><Relationship Id="rId31" Type="http://schemas.openxmlformats.org/officeDocument/2006/relationships/hyperlink" Target="https://www.minichart.com.sg/2025/08/22/citic-securities-600030-ss-stock-analysis-2025-strong-growth-prospects-and-buy-rating-explained/" TargetMode="External"/><Relationship Id="rId30" Type="http://schemas.openxmlformats.org/officeDocument/2006/relationships/hyperlink" Target="https://finance.yahoo.com/quote/600030.SS/history/" TargetMode="External"/><Relationship Id="rId33" Type="http://schemas.openxmlformats.org/officeDocument/2006/relationships/hyperlink" Target="https://www.minichart.com.sg/2025/08/22/citic-securities-600030-ss-stock-analysis-2025-strong-growth-prospects-and-buy-rating-explained/" TargetMode="External"/><Relationship Id="rId32" Type="http://schemas.openxmlformats.org/officeDocument/2006/relationships/hyperlink" Target="https://www.citic.com/ar2024/en/financial-services/securities" TargetMode="External"/><Relationship Id="rId35" Type="http://schemas.openxmlformats.org/officeDocument/2006/relationships/hyperlink" Target="https://finance.yahoo.com/news/citic-securities-co-ltd-shse-131538002.html" TargetMode="External"/><Relationship Id="rId34" Type="http://schemas.openxmlformats.org/officeDocument/2006/relationships/hyperlink" Target="https://finance.yahoo.com/quote/600030.SS/analysis/" TargetMode="External"/><Relationship Id="rId37" Type="http://schemas.openxmlformats.org/officeDocument/2006/relationships/hyperlink" Target="https://www.tipranks.com/news/company-announcements/citic-securities-releases-2025-interim-results" TargetMode="External"/><Relationship Id="rId36" Type="http://schemas.openxmlformats.org/officeDocument/2006/relationships/hyperlink" Target="https://finance.yahoo.com/quote/600030.SS/analysis/" TargetMode="External"/><Relationship Id="rId39" Type="http://schemas.openxmlformats.org/officeDocument/2006/relationships/hyperlink" Target="https://www.perplexity.ai/finance/600030.SS/history" TargetMode="External"/><Relationship Id="rId38" Type="http://schemas.openxmlformats.org/officeDocument/2006/relationships/hyperlink" Target="https://www.reuters.com/markets/companies/600030.SS" TargetMode="External"/><Relationship Id="rId20" Type="http://schemas.openxmlformats.org/officeDocument/2006/relationships/hyperlink" Target="https://www.citic.com/ar2024/en/financial-services/securities" TargetMode="External"/><Relationship Id="rId22" Type="http://schemas.openxmlformats.org/officeDocument/2006/relationships/hyperlink" Target="https://stockinvest.us/fundamentals/600030.SS" TargetMode="External"/><Relationship Id="rId21" Type="http://schemas.openxmlformats.org/officeDocument/2006/relationships/hyperlink" Target="https://www.citic.com/ar2024/en/financial-services/securities" TargetMode="External"/><Relationship Id="rId24" Type="http://schemas.openxmlformats.org/officeDocument/2006/relationships/hyperlink" Target="https://www.tradingview.com/symbols/SSE-600030/" TargetMode="External"/><Relationship Id="rId23" Type="http://schemas.openxmlformats.org/officeDocument/2006/relationships/hyperlink" Target="https://companiesmarketcap.com/citic-securities/revenue/" TargetMode="External"/><Relationship Id="rId26" Type="http://schemas.openxmlformats.org/officeDocument/2006/relationships/hyperlink" Target="https://www.tradingview.com/symbols/SSE-600030/" TargetMode="External"/><Relationship Id="rId25" Type="http://schemas.openxmlformats.org/officeDocument/2006/relationships/hyperlink" Target="https://finance.yahoo.com/news/citic-securities-co-ltd-shse-131538002.html" TargetMode="External"/><Relationship Id="rId28" Type="http://schemas.openxmlformats.org/officeDocument/2006/relationships/hyperlink" Target="https://finance.yahoo.com/quote/600030.SS/" TargetMode="External"/><Relationship Id="rId27" Type="http://schemas.openxmlformats.org/officeDocument/2006/relationships/hyperlink" Target="https://www.tradingview.com/symbols/SSE-600030/" TargetMode="External"/><Relationship Id="rId29" Type="http://schemas.openxmlformats.org/officeDocument/2006/relationships/hyperlink" Target="https://finance.yahoo.com/news/citic-securities-co-ltd-shse-131538002.html" TargetMode="External"/><Relationship Id="rId51" Type="http://schemas.openxmlformats.org/officeDocument/2006/relationships/hyperlink" Target="https://companiesmarketcap.com/citic-securities/revenue/" TargetMode="External"/><Relationship Id="rId50" Type="http://schemas.openxmlformats.org/officeDocument/2006/relationships/hyperlink" Target="https://www.tipranks.com/news/company-announcements/citic-securities-releases-2025-interim-results" TargetMode="External"/><Relationship Id="rId53" Type="http://schemas.openxmlformats.org/officeDocument/2006/relationships/hyperlink" Target="https://finance.yahoo.com/news/citic-securities-co-ltd-shse-131538002.html" TargetMode="External"/><Relationship Id="rId52" Type="http://schemas.openxmlformats.org/officeDocument/2006/relationships/hyperlink" Target="https://stockinvest.us/fundamentals/600030.SS" TargetMode="External"/><Relationship Id="rId11" Type="http://schemas.openxmlformats.org/officeDocument/2006/relationships/hyperlink" Target="https://companiesmarketcap.com/citic-securities/revenue/" TargetMode="External"/><Relationship Id="rId55" Type="http://schemas.openxmlformats.org/officeDocument/2006/relationships/hyperlink" Target="https://finance.yahoo.com/quote/600030.SS/analysis/" TargetMode="External"/><Relationship Id="rId10" Type="http://schemas.openxmlformats.org/officeDocument/2006/relationships/hyperlink" Target="https://www.moomoo.com/news/post/57681106/citic-securities-in-the-first-half-of-2025-net-profit" TargetMode="External"/><Relationship Id="rId54" Type="http://schemas.openxmlformats.org/officeDocument/2006/relationships/hyperlink" Target="https://finance.yahoo.com/quote/600030.SS/" TargetMode="External"/><Relationship Id="rId13" Type="http://schemas.openxmlformats.org/officeDocument/2006/relationships/hyperlink" Target="https://finance.yahoo.com/news/citic-securities-co-ltd-shse-131538002.html" TargetMode="External"/><Relationship Id="rId57" Type="http://schemas.openxmlformats.org/officeDocument/2006/relationships/hyperlink" Target="https://www.cs.ecitic.com/newsite/en/news/news1/202508/P020250828678043169134.pdf" TargetMode="External"/><Relationship Id="rId12" Type="http://schemas.openxmlformats.org/officeDocument/2006/relationships/hyperlink" Target="https://stockinvest.us/fundamentals/600030.SS" TargetMode="External"/><Relationship Id="rId56" Type="http://schemas.openxmlformats.org/officeDocument/2006/relationships/hyperlink" Target="https://www.perplexity.ai/finance/600030.SS/history" TargetMode="External"/><Relationship Id="rId15" Type="http://schemas.openxmlformats.org/officeDocument/2006/relationships/hyperlink" Target="https://www.citic.com/ar2024/en/financial-services/securities" TargetMode="External"/><Relationship Id="rId59" Type="http://schemas.openxmlformats.org/officeDocument/2006/relationships/hyperlink" Target="https://www.marketbeat.com/ratings/by-issuer/citic-securities-stock-recommendations/" TargetMode="External"/><Relationship Id="rId14" Type="http://schemas.openxmlformats.org/officeDocument/2006/relationships/hyperlink" Target="https://finance.yahoo.com/quote/600030.SS/" TargetMode="External"/><Relationship Id="rId58" Type="http://schemas.openxmlformats.org/officeDocument/2006/relationships/hyperlink" Target="https://www.cs.ecitic.com/newsite/en/investorRelations/financialReports/" TargetMode="External"/><Relationship Id="rId17" Type="http://schemas.openxmlformats.org/officeDocument/2006/relationships/hyperlink" Target="https://www.tradingview.com/symbols/SSE-600030/" TargetMode="External"/><Relationship Id="rId16" Type="http://schemas.openxmlformats.org/officeDocument/2006/relationships/hyperlink" Target="https://www.tradingview.com/symbols/SSE-600030/" TargetMode="External"/><Relationship Id="rId19" Type="http://schemas.openxmlformats.org/officeDocument/2006/relationships/hyperlink" Target="https://www.citic.com/ar2024/en/financial-services/securities" TargetMode="External"/><Relationship Id="rId18" Type="http://schemas.openxmlformats.org/officeDocument/2006/relationships/hyperlink" Target="https://www.tradingview.com/symbols/SSE-60003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