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om5w9hraa3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GF Securities Co Ltd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20.34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~CNY 150B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Securities Brokerage, Investment Banking, Asset/Wealth Management, Capital Markets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consensus; see firms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qmg63ukf8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GF Securities is a fully licensed top-tier Chinese securities firm, with core business lines spanning investment banking, wealth management, institutional trading, and asset/fund management. With a diversified model, GF serves corporations, individuals, institutions, and government, offering equity/debt underwriting, advisory, margin trading, and alternative investments. The firm claims a 21% share in domestic debt underwriting, with ¥300B invested in sustainable finance. It is also pushing aggressive tech innovation, allocating ¥10B to AI/blockchain integration, and expanding internationally via cross-border partnerships.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Segments:</w:t>
      </w:r>
      <w:r w:rsidDel="00000000" w:rsidR="00000000" w:rsidRPr="00000000">
        <w:rPr>
          <w:rtl w:val="0"/>
        </w:rPr>
        <w:t xml:space="preserve"> Investment Banking (~22%), Wealth Management (~45%), Trading (~20%), Investment Management (~13%).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Scale, digital/tech leadership, strong balance sheet, sector-best diversification, international growth.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Regulatory shifts, competitive fee/pricing, market volatility, margin pressure.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xsdz3cny8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(TTM):</w:t>
      </w:r>
      <w:r w:rsidDel="00000000" w:rsidR="00000000" w:rsidRPr="00000000">
        <w:rPr>
          <w:rtl w:val="0"/>
        </w:rPr>
        <w:t xml:space="preserve"> +7.75%; 2024-2025 TTM Revenue: $3.95B (CNY ~28.36B).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 2025 net profit:</w:t>
      </w:r>
      <w:r w:rsidDel="00000000" w:rsidR="00000000" w:rsidRPr="00000000">
        <w:rPr>
          <w:rtl w:val="0"/>
        </w:rPr>
        <w:t xml:space="preserve"> Up 48.3% year-over-year (TTM net income: CNY 9.95B).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moomoo+2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~35%; ROE ~13.6% (sector-leading).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CNY 0.50/share (2.41% yield, ex-date June 30, 2025).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Among sector best.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5 brokerage in China, top 3 for debt capital markets.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sz8kpdnyg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 phase:</w:t>
      </w:r>
      <w:r w:rsidDel="00000000" w:rsidR="00000000" w:rsidRPr="00000000">
        <w:rPr>
          <w:rtl w:val="0"/>
        </w:rPr>
        <w:t xml:space="preserve"> Consolidation; digital transformation and regulatory focus. Profit and revenue trends rebounding in 2025 after cyclical low.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GF vs. sector: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 (TTM): 11.4x, sector 20x.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0.8x (sector 1.0x).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Upside to analyst target: 25.6% (median).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~35% (sector 26%)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Sustainable finance leadership:</w:t>
      </w:r>
      <w:r w:rsidDel="00000000" w:rsidR="00000000" w:rsidRPr="00000000">
        <w:rPr>
          <w:rtl w:val="0"/>
        </w:rPr>
        <w:t xml:space="preserve"> ¥300B committed.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Tech/innovation:</w:t>
      </w:r>
      <w:r w:rsidDel="00000000" w:rsidR="00000000" w:rsidRPr="00000000">
        <w:rPr>
          <w:rtl w:val="0"/>
        </w:rPr>
        <w:t xml:space="preserve"> ¥10B three-year AI/blockchain plan, digital finance products (e.g. "GF Token").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bidu1eqa4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Leverage:</w:t>
      </w:r>
      <w:r w:rsidDel="00000000" w:rsidR="00000000" w:rsidRPr="00000000">
        <w:rPr>
          <w:rtl w:val="0"/>
        </w:rPr>
        <w:t xml:space="preserve"> Moderate, sector-normal; strong net capital base.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Healthy cash and liquidity coverage (no distress indicators).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payout:</w:t>
      </w:r>
      <w:r w:rsidDel="00000000" w:rsidR="00000000" w:rsidRPr="00000000">
        <w:rPr>
          <w:rtl w:val="0"/>
        </w:rPr>
        <w:t xml:space="preserve"> ~30% of earnings, stable and sector-leading.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Fee compression, digital disruption, regulatory event exposure.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8yeco21y0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revenue:</w:t>
      </w:r>
      <w:r w:rsidDel="00000000" w:rsidR="00000000" w:rsidRPr="00000000">
        <w:rPr>
          <w:rtl w:val="0"/>
        </w:rPr>
        <w:t xml:space="preserve"> CNY 28.36B.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net income:</w:t>
      </w:r>
      <w:r w:rsidDel="00000000" w:rsidR="00000000" w:rsidRPr="00000000">
        <w:rPr>
          <w:rtl w:val="0"/>
        </w:rPr>
        <w:t xml:space="preserve"> CNY 9.95B.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EPS:</w:t>
      </w:r>
      <w:r w:rsidDel="00000000" w:rsidR="00000000" w:rsidRPr="00000000">
        <w:rPr>
          <w:rtl w:val="0"/>
        </w:rPr>
        <w:t xml:space="preserve"> 1.34.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11.4x (vs. sector 20.0x).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0.8x (sector 1.0x).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2.41%.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price target:</w:t>
      </w:r>
      <w:r w:rsidDel="00000000" w:rsidR="00000000" w:rsidRPr="00000000">
        <w:rPr>
          <w:rtl w:val="0"/>
        </w:rPr>
        <w:t xml:space="preserve"> Median CNY 25.56 (+25.6% upside).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11.50–21.12.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u0m25kx7m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H1 2025 profit up 48.3%, standout vs. peer average (-5.6% earnings decline).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“GF Token” digital security and tech platform launched.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 expansion into 15+ international markets; targeting 20% annualized global revenue growth.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 investment and regulatory reporting rigor boosting credibility.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754zuxd3h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Retail/wealth:</w:t>
      </w:r>
      <w:r w:rsidDel="00000000" w:rsidR="00000000" w:rsidRPr="00000000">
        <w:rPr>
          <w:rtl w:val="0"/>
        </w:rPr>
        <w:t xml:space="preserve"> ~45%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Corporate/investment banking:</w:t>
      </w:r>
      <w:r w:rsidDel="00000000" w:rsidR="00000000" w:rsidRPr="00000000">
        <w:rPr>
          <w:rtl w:val="0"/>
        </w:rPr>
        <w:t xml:space="preserve"> ~22%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Institutional trading:</w:t>
      </w:r>
      <w:r w:rsidDel="00000000" w:rsidR="00000000" w:rsidRPr="00000000">
        <w:rPr>
          <w:rtl w:val="0"/>
        </w:rPr>
        <w:t xml:space="preserve"> ~20%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Fund/alternative/asset management:</w:t>
      </w:r>
      <w:r w:rsidDel="00000000" w:rsidR="00000000" w:rsidRPr="00000000">
        <w:rPr>
          <w:rtl w:val="0"/>
        </w:rPr>
        <w:t xml:space="preserve"> ~13%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Trend:</w:t>
      </w:r>
      <w:r w:rsidDel="00000000" w:rsidR="00000000" w:rsidRPr="00000000">
        <w:rPr>
          <w:rtl w:val="0"/>
        </w:rPr>
        <w:t xml:space="preserve"> Surging digital adoption, green finance, cross-border fund flows.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932aaf5dt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comparables: CITIC Securities, Guotai Junan, Haitong, Huatai, Shenwan Hongyuan.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Tech investment, capital markets innovation, ESG, digital/AI platforms, international diversification.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huivk2ps1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Cyclical fee/market compression, digital disruptor competition.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changes, platform risk, global volatility.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kwnbknsde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2025 consensus: Revenue and net profit to grow ~20%+, strong dividend flow.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target: CNY 25.56 (median, +25.6% upside), range CNY 18.74–29.17.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valueinvesting+1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 through-cycle dividend; expect continued digital and global expansion to drive re-rating.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62b79dxv0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BlackRock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Brookfield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Apollo Global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BNY Mellon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State Street</w:t>
      </w:r>
      <w:r w:rsidDel="00000000" w:rsidR="00000000" w:rsidRPr="00000000">
        <w:rPr>
          <w:rtl w:val="0"/>
        </w:rPr>
        <w:t xml:space="preserve"> among global institutions holding or rating GF.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Buy (most recent ratings positive; “Buy”, “Outperform”, “Overweight”).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Latest broker targets: BlackRock +22.4% upside; UBS +8.4%; Apollo +39%; State Street +24%.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yxkog73nk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Top-tier profit growth, digital and global leadership, peer-low valuation.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balance sheet, resilient dividend, high ROE and market share.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Sector-best upside among large A-share brokers.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Earnings volatility, digital/fee compression, regulatory changes.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1hmbh56gl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845"/>
        <w:gridCol w:w="890"/>
        <w:gridCol w:w="1100"/>
        <w:tblGridChange w:id="0">
          <w:tblGrid>
            <w:gridCol w:w="1340"/>
            <w:gridCol w:w="845"/>
            <w:gridCol w:w="890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11.4x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0.8x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1.87%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~35%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q5e9gbifr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GF Securities has delivered best-in-class profit growth and tech-driven business model adaptation; holds sector-lead on upside and efficiency.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Leading global institutional backing and analyst bullishness support “Buy” view.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summary draws from company, peer, and major international firm data as required.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w8z69bff4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Profile/financials: [Yahoo Finance], [Investing.com], [Moomoo], [CompaniesMarketCap], [StockAnalysis]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moomoo+6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Consensus/analyst: [MarketScreener], [TipRanks], [ValueInvesting.io], [Bloomberg]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bloomberg+3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holders: [MarketScreener], [Fitch]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fitchratings+1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https://www.investing.com/equities/gf-securities-a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https://stockanalysis.com/quote/she/000776/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https://finance.yahoo.com/quote/000776.SZ/profile/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https://www.moomoo.com/stock/000776-SZ/company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https://www.ainvest.com/news/gf-securities-strategic-resilience-navigating-china-financial-services-transformation-2508/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https://www.fitchratings.com/research/non-bank-financial-institutions/fitch-affirms-gf-securities-subsidiary-at-bbb-outlook-stable-30-06-2025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https://companiesmarketcap.com/gf-securities/revenue/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https://www.moomoo.com/stock/000776-SZ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https://www.marketscreener.com/quote/stock/GF-SECURITIES-CO-LTD-6500654/consensus/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https://valueinvesting.io/000776.SZ/valuation/intrinsic-value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https://finance.yahoo.com/quote/000776.SZ/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https://www.bloomberg.com/quote/000776:CH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https://www.tipranks.com/news/company-announcements/gf-securities-announces-2025-interim-results-and-dividend-distribution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https://www.reuters.com/markets/companies/000776.SZ/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https://www.geraldgrain.com/markets/stocks.php?article=acnnewswire-2025-8-30-integrated-development-of-four-major-businesses-to-drive-the-financial-five-major-areas-gf-securities-announces-its-2025-interim-results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https://www.perplexity.ai/finance/000776.SZ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https://www.barrons.com/market-data/stocks/000776?countrycode=cn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https://sg.finance.yahoo.com/quote/000776.SZ/history/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https://nz.finance.yahoo.com/quote/9GF.F/analysis/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24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https://cbonds.com/stocks/CNE0000008L2/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invest.com/news/gf-securities-strategic-resilience-navigating-china-financial-services-transformation-2508/" TargetMode="External"/><Relationship Id="rId42" Type="http://schemas.openxmlformats.org/officeDocument/2006/relationships/hyperlink" Target="https://companiesmarketcap.com/gf-securities/revenue/" TargetMode="External"/><Relationship Id="rId41" Type="http://schemas.openxmlformats.org/officeDocument/2006/relationships/hyperlink" Target="https://www.fitchratings.com/research/non-bank-financial-institutions/fitch-affirms-gf-securities-subsidiary-at-bbb-outlook-stable-30-06-2025" TargetMode="External"/><Relationship Id="rId44" Type="http://schemas.openxmlformats.org/officeDocument/2006/relationships/hyperlink" Target="https://www.marketscreener.com/quote/stock/GF-SECURITIES-CO-LTD-6500654/consensus/" TargetMode="External"/><Relationship Id="rId43" Type="http://schemas.openxmlformats.org/officeDocument/2006/relationships/hyperlink" Target="https://www.moomoo.com/stock/000776-SZ" TargetMode="External"/><Relationship Id="rId46" Type="http://schemas.openxmlformats.org/officeDocument/2006/relationships/hyperlink" Target="https://finance.yahoo.com/quote/000776.SZ/" TargetMode="External"/><Relationship Id="rId45" Type="http://schemas.openxmlformats.org/officeDocument/2006/relationships/hyperlink" Target="https://valueinvesting.io/000776.SZ/valuation/intrinsic-val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invest.com/news/gf-securities-strategic-resilience-navigating-china-financial-services-transformation-2508/" TargetMode="External"/><Relationship Id="rId48" Type="http://schemas.openxmlformats.org/officeDocument/2006/relationships/hyperlink" Target="https://www.tipranks.com/news/company-announcements/gf-securities-announces-2025-interim-results-and-dividend-distribution" TargetMode="External"/><Relationship Id="rId47" Type="http://schemas.openxmlformats.org/officeDocument/2006/relationships/hyperlink" Target="https://www.bloomberg.com/quote/000776:CH" TargetMode="External"/><Relationship Id="rId49" Type="http://schemas.openxmlformats.org/officeDocument/2006/relationships/hyperlink" Target="https://www.reuters.com/markets/companies/000776.SZ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gf-securities-a" TargetMode="External"/><Relationship Id="rId7" Type="http://schemas.openxmlformats.org/officeDocument/2006/relationships/hyperlink" Target="https://stockanalysis.com/quote/she/000776/" TargetMode="External"/><Relationship Id="rId8" Type="http://schemas.openxmlformats.org/officeDocument/2006/relationships/hyperlink" Target="https://finance.yahoo.com/quote/000776.SZ/profile/" TargetMode="External"/><Relationship Id="rId31" Type="http://schemas.openxmlformats.org/officeDocument/2006/relationships/hyperlink" Target="https://www.marketscreener.com/quote/stock/GF-SECURITIES-CO-LTD-6500654/consensus/" TargetMode="External"/><Relationship Id="rId30" Type="http://schemas.openxmlformats.org/officeDocument/2006/relationships/hyperlink" Target="https://www.marketscreener.com/quote/stock/GF-SECURITIES-CO-LTD-6500654/consensus/" TargetMode="External"/><Relationship Id="rId33" Type="http://schemas.openxmlformats.org/officeDocument/2006/relationships/hyperlink" Target="https://www.moomoo.com/stock/000776-SZ/company" TargetMode="External"/><Relationship Id="rId32" Type="http://schemas.openxmlformats.org/officeDocument/2006/relationships/hyperlink" Target="https://www.marketscreener.com/quote/stock/GF-SECURITIES-CO-LTD-6500654/consensus/" TargetMode="External"/><Relationship Id="rId35" Type="http://schemas.openxmlformats.org/officeDocument/2006/relationships/hyperlink" Target="https://www.fitchratings.com/research/non-bank-financial-institutions/fitch-affirms-gf-securities-subsidiary-at-bbb-outlook-stable-30-06-2025" TargetMode="External"/><Relationship Id="rId34" Type="http://schemas.openxmlformats.org/officeDocument/2006/relationships/hyperlink" Target="https://www.bloomberg.com/quote/000776:CH" TargetMode="External"/><Relationship Id="rId37" Type="http://schemas.openxmlformats.org/officeDocument/2006/relationships/hyperlink" Target="https://stockanalysis.com/quote/she/000776/" TargetMode="External"/><Relationship Id="rId36" Type="http://schemas.openxmlformats.org/officeDocument/2006/relationships/hyperlink" Target="https://www.investing.com/equities/gf-securities-a" TargetMode="External"/><Relationship Id="rId39" Type="http://schemas.openxmlformats.org/officeDocument/2006/relationships/hyperlink" Target="https://www.moomoo.com/stock/000776-SZ/company" TargetMode="External"/><Relationship Id="rId38" Type="http://schemas.openxmlformats.org/officeDocument/2006/relationships/hyperlink" Target="https://finance.yahoo.com/quote/000776.SZ/profile/" TargetMode="External"/><Relationship Id="rId20" Type="http://schemas.openxmlformats.org/officeDocument/2006/relationships/hyperlink" Target="https://stockanalysis.com/quote/she/000776/" TargetMode="External"/><Relationship Id="rId22" Type="http://schemas.openxmlformats.org/officeDocument/2006/relationships/hyperlink" Target="https://stockanalysis.com/quote/she/000776/" TargetMode="External"/><Relationship Id="rId21" Type="http://schemas.openxmlformats.org/officeDocument/2006/relationships/hyperlink" Target="https://stockanalysis.com/quote/she/000776/" TargetMode="External"/><Relationship Id="rId24" Type="http://schemas.openxmlformats.org/officeDocument/2006/relationships/hyperlink" Target="https://stockanalysis.com/quote/she/000776/" TargetMode="External"/><Relationship Id="rId23" Type="http://schemas.openxmlformats.org/officeDocument/2006/relationships/hyperlink" Target="https://www.investing.com/equities/gf-securities-a" TargetMode="External"/><Relationship Id="rId26" Type="http://schemas.openxmlformats.org/officeDocument/2006/relationships/hyperlink" Target="https://stockanalysis.com/quote/she/000776/" TargetMode="External"/><Relationship Id="rId25" Type="http://schemas.openxmlformats.org/officeDocument/2006/relationships/hyperlink" Target="https://www.marketscreener.com/quote/stock/GF-SECURITIES-CO-LTD-6500654/consensus/" TargetMode="External"/><Relationship Id="rId28" Type="http://schemas.openxmlformats.org/officeDocument/2006/relationships/hyperlink" Target="https://www.ainvest.com/news/gf-securities-strategic-resilience-navigating-china-financial-services-transformation-2508/" TargetMode="External"/><Relationship Id="rId27" Type="http://schemas.openxmlformats.org/officeDocument/2006/relationships/hyperlink" Target="https://www.moomoo.com/stock/000776-SZ" TargetMode="External"/><Relationship Id="rId29" Type="http://schemas.openxmlformats.org/officeDocument/2006/relationships/hyperlink" Target="https://valueinvesting.io/000776.SZ/valuation/intrinsic-value" TargetMode="External"/><Relationship Id="rId51" Type="http://schemas.openxmlformats.org/officeDocument/2006/relationships/hyperlink" Target="https://www.perplexity.ai/finance/000776.SZ" TargetMode="External"/><Relationship Id="rId50" Type="http://schemas.openxmlformats.org/officeDocument/2006/relationships/hyperlink" Target="https://www.geraldgrain.com/markets/stocks.php?article=acnnewswire-2025-8-30-integrated-development-of-four-major-businesses-to-drive-the-financial-five-major-areas-gf-securities-announces-its-2025-interim-results" TargetMode="External"/><Relationship Id="rId53" Type="http://schemas.openxmlformats.org/officeDocument/2006/relationships/hyperlink" Target="https://sg.finance.yahoo.com/quote/000776.SZ/history/" TargetMode="External"/><Relationship Id="rId52" Type="http://schemas.openxmlformats.org/officeDocument/2006/relationships/hyperlink" Target="https://www.barrons.com/market-data/stocks/000776?countrycode=cn" TargetMode="External"/><Relationship Id="rId11" Type="http://schemas.openxmlformats.org/officeDocument/2006/relationships/hyperlink" Target="https://www.moomoo.com/stock/000776-SZ" TargetMode="External"/><Relationship Id="rId55" Type="http://schemas.openxmlformats.org/officeDocument/2006/relationships/hyperlink" Target="https://cbonds.com/stocks/CNE0000008L2/" TargetMode="External"/><Relationship Id="rId10" Type="http://schemas.openxmlformats.org/officeDocument/2006/relationships/hyperlink" Target="https://companiesmarketcap.com/gf-securities/revenue/" TargetMode="External"/><Relationship Id="rId54" Type="http://schemas.openxmlformats.org/officeDocument/2006/relationships/hyperlink" Target="https://nz.finance.yahoo.com/quote/9GF.F/analysis/" TargetMode="External"/><Relationship Id="rId13" Type="http://schemas.openxmlformats.org/officeDocument/2006/relationships/hyperlink" Target="https://stockanalysis.com/quote/she/000776/" TargetMode="External"/><Relationship Id="rId12" Type="http://schemas.openxmlformats.org/officeDocument/2006/relationships/hyperlink" Target="https://stockanalysis.com/quote/she/000776/" TargetMode="External"/><Relationship Id="rId15" Type="http://schemas.openxmlformats.org/officeDocument/2006/relationships/hyperlink" Target="https://www.investing.com/equities/gf-securities-a" TargetMode="External"/><Relationship Id="rId14" Type="http://schemas.openxmlformats.org/officeDocument/2006/relationships/hyperlink" Target="https://www.investing.com/equities/gf-securities-a" TargetMode="External"/><Relationship Id="rId17" Type="http://schemas.openxmlformats.org/officeDocument/2006/relationships/hyperlink" Target="https://www.ainvest.com/news/gf-securities-strategic-resilience-navigating-china-financial-services-transformation-2508/" TargetMode="External"/><Relationship Id="rId16" Type="http://schemas.openxmlformats.org/officeDocument/2006/relationships/hyperlink" Target="https://www.investing.com/equities/gf-securities-a" TargetMode="External"/><Relationship Id="rId19" Type="http://schemas.openxmlformats.org/officeDocument/2006/relationships/hyperlink" Target="https://stockanalysis.com/quote/she/000776/" TargetMode="External"/><Relationship Id="rId18" Type="http://schemas.openxmlformats.org/officeDocument/2006/relationships/hyperlink" Target="https://stockanalysis.com/quote/she/0007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