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34jfgdzv95v" w:id="0"/>
      <w:bookmarkEnd w:id="0"/>
      <w:r w:rsidDel="00000000" w:rsidR="00000000" w:rsidRPr="00000000">
        <w:rPr>
          <w:b w:val="1"/>
          <w:sz w:val="46"/>
          <w:szCs w:val="46"/>
          <w:rtl w:val="0"/>
        </w:rPr>
        <w:t xml:space="preserve">Investment Summary: Guosen Securities Co Ltd</w:t>
      </w:r>
    </w:p>
    <w:p w:rsidR="00000000" w:rsidDel="00000000" w:rsidP="00000000" w:rsidRDefault="00000000" w:rsidRPr="00000000" w14:paraId="00000002">
      <w:pPr>
        <w:numPr>
          <w:ilvl w:val="0"/>
          <w:numId w:val="17"/>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September 5, 2025</w:t>
        <w:br w:type="textWrapping"/>
      </w:r>
    </w:p>
    <w:p w:rsidR="00000000" w:rsidDel="00000000" w:rsidP="00000000" w:rsidRDefault="00000000" w:rsidRPr="00000000" w14:paraId="00000003">
      <w:pPr>
        <w:numPr>
          <w:ilvl w:val="0"/>
          <w:numId w:val="17"/>
        </w:numPr>
        <w:spacing w:after="0" w:afterAutospacing="0" w:before="0" w:beforeAutospacing="0" w:lineRule="auto"/>
        <w:ind w:left="720" w:hanging="360"/>
      </w:pPr>
      <w:r w:rsidDel="00000000" w:rsidR="00000000" w:rsidRPr="00000000">
        <w:rPr>
          <w:b w:val="1"/>
          <w:rtl w:val="0"/>
        </w:rPr>
        <w:t xml:space="preserve">Stock price (close, last trading day):</w:t>
      </w:r>
      <w:r w:rsidDel="00000000" w:rsidR="00000000" w:rsidRPr="00000000">
        <w:rPr>
          <w:rtl w:val="0"/>
        </w:rPr>
        <w:t xml:space="preserve"> CNY 14.98</w:t>
      </w:r>
      <w:hyperlink r:id="rId6">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04">
      <w:pPr>
        <w:numPr>
          <w:ilvl w:val="0"/>
          <w:numId w:val="17"/>
        </w:numPr>
        <w:spacing w:after="0" w:afterAutospacing="0" w:before="0" w:beforeAutospacing="0" w:lineRule="auto"/>
        <w:ind w:left="720" w:hanging="360"/>
      </w:pPr>
      <w:r w:rsidDel="00000000" w:rsidR="00000000" w:rsidRPr="00000000">
        <w:rPr>
          <w:b w:val="1"/>
          <w:rtl w:val="0"/>
        </w:rPr>
        <w:t xml:space="preserve">Market cap:</w:t>
      </w:r>
      <w:r w:rsidDel="00000000" w:rsidR="00000000" w:rsidRPr="00000000">
        <w:rPr>
          <w:rtl w:val="0"/>
        </w:rPr>
        <w:t xml:space="preserve"> CNY 143.2B</w:t>
      </w:r>
      <w:hyperlink r:id="rId7">
        <w:r w:rsidDel="00000000" w:rsidR="00000000" w:rsidRPr="00000000">
          <w:rPr>
            <w:color w:val="1155cc"/>
            <w:u w:val="single"/>
            <w:rtl w:val="0"/>
          </w:rPr>
          <w:t xml:space="preserve">companiesmarketcap+1</w:t>
          <w:br w:type="textWrapping"/>
        </w:r>
      </w:hyperlink>
      <w:r w:rsidDel="00000000" w:rsidR="00000000" w:rsidRPr="00000000">
        <w:rPr>
          <w:rtl w:val="0"/>
        </w:rPr>
      </w:r>
    </w:p>
    <w:p w:rsidR="00000000" w:rsidDel="00000000" w:rsidP="00000000" w:rsidRDefault="00000000" w:rsidRPr="00000000" w14:paraId="00000005">
      <w:pPr>
        <w:numPr>
          <w:ilvl w:val="0"/>
          <w:numId w:val="17"/>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Securities Brokerage, Asset Management, Investment Banking, Financial Conglomerate</w:t>
        <w:br w:type="textWrapping"/>
      </w:r>
    </w:p>
    <w:p w:rsidR="00000000" w:rsidDel="00000000" w:rsidP="00000000" w:rsidRDefault="00000000" w:rsidRPr="00000000" w14:paraId="00000006">
      <w:pPr>
        <w:numPr>
          <w:ilvl w:val="0"/>
          <w:numId w:val="17"/>
        </w:numPr>
        <w:spacing w:after="240" w:before="0" w:beforeAutospacing="0" w:lineRule="auto"/>
        <w:ind w:left="720" w:hanging="360"/>
      </w:pPr>
      <w:r w:rsidDel="00000000" w:rsidR="00000000" w:rsidRPr="00000000">
        <w:rPr>
          <w:b w:val="1"/>
          <w:rtl w:val="0"/>
        </w:rPr>
        <w:t xml:space="preserve">Recommended Action:</w:t>
      </w:r>
      <w:r w:rsidDel="00000000" w:rsidR="00000000" w:rsidRPr="00000000">
        <w:rPr>
          <w:rtl w:val="0"/>
        </w:rPr>
        <w:t xml:space="preserve"> Buy (Analyst and institutional consensus; see firms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gucssulfp1wg"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Guosen is a top 10 Chinese securities firm, operating in brokerage and wealth management, investment banking, trading, asset management, and alternative investments. The group serves individuals, corporates, and institutions, offering securities and futures brokerage, margin trading, IBD, M&amp;A, proprietary trading, and fund management. FY2024/TTM revenue was CNY 20.1B (+16% YoY), with Q2 2025 revenue CNY 11.08B (+51.8% YoY).</w:t>
      </w:r>
      <w:hyperlink r:id="rId8">
        <w:r w:rsidDel="00000000" w:rsidR="00000000" w:rsidRPr="00000000">
          <w:rPr>
            <w:color w:val="1155cc"/>
            <w:u w:val="single"/>
            <w:rtl w:val="0"/>
          </w:rPr>
          <w:t xml:space="preserve">finance.yahoo+5</w:t>
        </w:r>
      </w:hyperlink>
      <w:r w:rsidDel="00000000" w:rsidR="00000000" w:rsidRPr="00000000">
        <w:rPr>
          <w:rtl w:val="0"/>
        </w:rPr>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Segments:</w:t>
      </w:r>
      <w:r w:rsidDel="00000000" w:rsidR="00000000" w:rsidRPr="00000000">
        <w:rPr>
          <w:rtl w:val="0"/>
        </w:rPr>
        <w:t xml:space="preserve"> Brokerage &amp; WM (50%), Investment Banking (~18%), Trading (~20%), Asset Management/PE (12%).</w:t>
      </w:r>
      <w:hyperlink r:id="rId9">
        <w:r w:rsidDel="00000000" w:rsidR="00000000" w:rsidRPr="00000000">
          <w:rPr>
            <w:color w:val="1155cc"/>
            <w:u w:val="single"/>
            <w:rtl w:val="0"/>
          </w:rPr>
          <w:t xml:space="preserve">wikifx+2</w:t>
          <w:br w:type="textWrapping"/>
        </w:r>
      </w:hyperlink>
      <w:r w:rsidDel="00000000" w:rsidR="00000000" w:rsidRPr="00000000">
        <w:rPr>
          <w:rtl w:val="0"/>
        </w:rPr>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Digitally enabled business, diversified earnings, low leverage (net D/E 0.3x), rapid profit recovery.</w:t>
        <w:br w:type="textWrapping"/>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Regulatory complexity, competitive sector, cyclical volatility, pressure on IBD margins.</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v976ewsrrj0q"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0F">
      <w:pPr>
        <w:numPr>
          <w:ilvl w:val="0"/>
          <w:numId w:val="16"/>
        </w:numPr>
        <w:spacing w:after="0" w:afterAutospacing="0" w:before="240" w:lineRule="auto"/>
        <w:ind w:left="720" w:hanging="360"/>
      </w:pPr>
      <w:r w:rsidDel="00000000" w:rsidR="00000000" w:rsidRPr="00000000">
        <w:rPr>
          <w:b w:val="1"/>
          <w:rtl w:val="0"/>
        </w:rPr>
        <w:t xml:space="preserve">Sales growth (5-year CAGR):</w:t>
      </w:r>
      <w:r w:rsidDel="00000000" w:rsidR="00000000" w:rsidRPr="00000000">
        <w:rPr>
          <w:rtl w:val="0"/>
        </w:rPr>
        <w:t xml:space="preserve"> ~10% (sector peer avg. ~7%).</w:t>
      </w:r>
      <w:hyperlink r:id="rId10">
        <w:r w:rsidDel="00000000" w:rsidR="00000000" w:rsidRPr="00000000">
          <w:rPr>
            <w:color w:val="1155cc"/>
            <w:u w:val="single"/>
            <w:rtl w:val="0"/>
          </w:rPr>
          <w:t xml:space="preserve">moomoo+1</w:t>
          <w:br w:type="textWrapping"/>
        </w:r>
      </w:hyperlink>
      <w:r w:rsidDel="00000000" w:rsidR="00000000" w:rsidRPr="00000000">
        <w:rPr>
          <w:rtl w:val="0"/>
        </w:rPr>
      </w:r>
    </w:p>
    <w:p w:rsidR="00000000" w:rsidDel="00000000" w:rsidP="00000000" w:rsidRDefault="00000000" w:rsidRPr="00000000" w14:paraId="00000010">
      <w:pPr>
        <w:numPr>
          <w:ilvl w:val="0"/>
          <w:numId w:val="16"/>
        </w:numPr>
        <w:spacing w:after="0" w:afterAutospacing="0" w:before="0" w:beforeAutospacing="0" w:lineRule="auto"/>
        <w:ind w:left="720" w:hanging="360"/>
      </w:pPr>
      <w:r w:rsidDel="00000000" w:rsidR="00000000" w:rsidRPr="00000000">
        <w:rPr>
          <w:b w:val="1"/>
          <w:rtl w:val="0"/>
        </w:rPr>
        <w:t xml:space="preserve">H1 2025 net profit:</w:t>
      </w:r>
      <w:r w:rsidDel="00000000" w:rsidR="00000000" w:rsidRPr="00000000">
        <w:rPr>
          <w:rtl w:val="0"/>
        </w:rPr>
        <w:t xml:space="preserve"> CNY 5.37B (+71% YoY), full-year 2024 net profit CNY 8.22B.</w:t>
      </w:r>
      <w:hyperlink r:id="rId11">
        <w:r w:rsidDel="00000000" w:rsidR="00000000" w:rsidRPr="00000000">
          <w:rPr>
            <w:color w:val="1155cc"/>
            <w:u w:val="single"/>
            <w:rtl w:val="0"/>
          </w:rPr>
          <w:t xml:space="preserve">ainvest+2</w:t>
          <w:br w:type="textWrapping"/>
        </w:r>
      </w:hyperlink>
      <w:r w:rsidDel="00000000" w:rsidR="00000000" w:rsidRPr="00000000">
        <w:rPr>
          <w:rtl w:val="0"/>
        </w:rPr>
      </w:r>
    </w:p>
    <w:p w:rsidR="00000000" w:rsidDel="00000000" w:rsidP="00000000" w:rsidRDefault="00000000" w:rsidRPr="00000000" w14:paraId="00000011">
      <w:pPr>
        <w:numPr>
          <w:ilvl w:val="0"/>
          <w:numId w:val="16"/>
        </w:numPr>
        <w:spacing w:after="0" w:afterAutospacing="0" w:before="0" w:beforeAutospacing="0" w:lineRule="auto"/>
        <w:ind w:left="720" w:hanging="360"/>
      </w:pPr>
      <w:r w:rsidDel="00000000" w:rsidR="00000000" w:rsidRPr="00000000">
        <w:rPr>
          <w:b w:val="1"/>
          <w:rtl w:val="0"/>
        </w:rPr>
        <w:t xml:space="preserve">Net margin:</w:t>
      </w:r>
      <w:r w:rsidDel="00000000" w:rsidR="00000000" w:rsidRPr="00000000">
        <w:rPr>
          <w:rtl w:val="0"/>
        </w:rPr>
        <w:t xml:space="preserve"> 36.5%, sector-leading.</w:t>
      </w:r>
      <w:hyperlink r:id="rId12">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b w:val="1"/>
          <w:rtl w:val="0"/>
        </w:rPr>
        <w:t xml:space="preserve">Dividend yield:</w:t>
      </w:r>
      <w:r w:rsidDel="00000000" w:rsidR="00000000" w:rsidRPr="00000000">
        <w:rPr>
          <w:rtl w:val="0"/>
        </w:rPr>
        <w:t xml:space="preserve"> 4.1% (TTM), payout ratio ~42%.</w:t>
      </w:r>
      <w:hyperlink r:id="rId13">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13">
      <w:pPr>
        <w:numPr>
          <w:ilvl w:val="0"/>
          <w:numId w:val="16"/>
        </w:numPr>
        <w:spacing w:after="0" w:afterAutospacing="0" w:before="0" w:beforeAutospacing="0" w:lineRule="auto"/>
        <w:ind w:left="720" w:hanging="360"/>
      </w:pPr>
      <w:r w:rsidDel="00000000" w:rsidR="00000000" w:rsidRPr="00000000">
        <w:rPr>
          <w:b w:val="1"/>
          <w:rtl w:val="0"/>
        </w:rPr>
        <w:t xml:space="preserve">Operating cash/share:</w:t>
      </w:r>
      <w:r w:rsidDel="00000000" w:rsidR="00000000" w:rsidRPr="00000000">
        <w:rPr>
          <w:rtl w:val="0"/>
        </w:rPr>
        <w:t xml:space="preserve"> CNY 3.12, peaking in Q2 2025.</w:t>
      </w:r>
      <w:hyperlink r:id="rId14">
        <w:r w:rsidDel="00000000" w:rsidR="00000000" w:rsidRPr="00000000">
          <w:rPr>
            <w:color w:val="1155cc"/>
            <w:u w:val="single"/>
            <w:rtl w:val="0"/>
          </w:rPr>
          <w:t xml:space="preserve">finbox</w:t>
          <w:br w:type="textWrapping"/>
        </w:r>
      </w:hyperlink>
      <w:r w:rsidDel="00000000" w:rsidR="00000000" w:rsidRPr="00000000">
        <w:rPr>
          <w:rtl w:val="0"/>
        </w:rPr>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b w:val="1"/>
          <w:rtl w:val="0"/>
        </w:rPr>
        <w:t xml:space="preserve">PE (TTM):</w:t>
      </w:r>
      <w:r w:rsidDel="00000000" w:rsidR="00000000" w:rsidRPr="00000000">
        <w:rPr>
          <w:rtl w:val="0"/>
        </w:rPr>
        <w:t xml:space="preserve"> 16.7x (sector avg. 20x), Forward PE: 15.1x.</w:t>
      </w:r>
      <w:hyperlink r:id="rId15">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5">
      <w:pPr>
        <w:numPr>
          <w:ilvl w:val="0"/>
          <w:numId w:val="16"/>
        </w:numPr>
        <w:spacing w:after="0" w:afterAutospacing="0" w:before="0" w:beforeAutospacing="0" w:lineRule="auto"/>
        <w:ind w:left="720" w:hanging="360"/>
      </w:pPr>
      <w:r w:rsidDel="00000000" w:rsidR="00000000" w:rsidRPr="00000000">
        <w:rPr>
          <w:b w:val="1"/>
          <w:rtl w:val="0"/>
        </w:rPr>
        <w:t xml:space="preserve">ROE:</w:t>
      </w:r>
      <w:r w:rsidDel="00000000" w:rsidR="00000000" w:rsidRPr="00000000">
        <w:rPr>
          <w:rtl w:val="0"/>
        </w:rPr>
        <w:t xml:space="preserve"> 11.1% (TTM).</w:t>
      </w:r>
      <w:hyperlink r:id="rId16">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6">
      <w:pPr>
        <w:numPr>
          <w:ilvl w:val="0"/>
          <w:numId w:val="16"/>
        </w:numPr>
        <w:spacing w:after="240" w:before="0" w:beforeAutospacing="0" w:lineRule="auto"/>
        <w:ind w:left="720" w:hanging="360"/>
      </w:pPr>
      <w:r w:rsidDel="00000000" w:rsidR="00000000" w:rsidRPr="00000000">
        <w:rPr>
          <w:b w:val="1"/>
          <w:rtl w:val="0"/>
        </w:rPr>
        <w:t xml:space="preserve">Market share:</w:t>
      </w:r>
      <w:r w:rsidDel="00000000" w:rsidR="00000000" w:rsidRPr="00000000">
        <w:rPr>
          <w:rtl w:val="0"/>
        </w:rPr>
        <w:t xml:space="preserve"> Top 5 in brokerage; digital channels now &gt;65% of volume.</w:t>
      </w:r>
      <w:hyperlink r:id="rId17">
        <w:r w:rsidDel="00000000" w:rsidR="00000000" w:rsidRPr="00000000">
          <w:rPr>
            <w:color w:val="1155cc"/>
            <w:u w:val="single"/>
            <w:rtl w:val="0"/>
          </w:rPr>
          <w:t xml:space="preserve">moomoo+1</w:t>
          <w:br w:type="textWrapping"/>
        </w:r>
      </w:hyperlink>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6sssrgni9pl9" w:id="3"/>
      <w:bookmarkEnd w:id="3"/>
      <w:r w:rsidDel="00000000" w:rsidR="00000000" w:rsidRPr="00000000">
        <w:rPr>
          <w:b w:val="1"/>
          <w:sz w:val="34"/>
          <w:szCs w:val="34"/>
          <w:rtl w:val="0"/>
        </w:rPr>
        <w:t xml:space="preserve">Industry Context</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Cycle:</w:t>
      </w:r>
      <w:r w:rsidDel="00000000" w:rsidR="00000000" w:rsidRPr="00000000">
        <w:rPr>
          <w:rtl w:val="0"/>
        </w:rPr>
        <w:t xml:space="preserve"> A-share market recovery, fee competition, demand for digital platforms.</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Guosen vs sector:</w:t>
        <w:br w:type="textWrapping"/>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Revenue CAGR: 10%, peer avg. 7%</w:t>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Net margin: 36.5%, peer avg. 27%</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Debt/equity: 0.3x (vs. 0.7x sector)</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Valuation:</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PE: 16.7x, sector 20x (discount).</w:t>
      </w:r>
      <w:hyperlink r:id="rId18">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PB: ~1.2x, sector 1.4x</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Dividend yield: 4.1%, highest among peers.</w:t>
      </w:r>
      <w:hyperlink r:id="rId19">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Peer-best cost control, rare earth/commodity diversification contributed to H1 2025 outperformance.</w:t>
      </w:r>
      <w:hyperlink r:id="rId20">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j6t3ea62pgnj"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Leverage:</w:t>
      </w:r>
      <w:r w:rsidDel="00000000" w:rsidR="00000000" w:rsidRPr="00000000">
        <w:rPr>
          <w:rtl w:val="0"/>
        </w:rPr>
        <w:t xml:space="preserve"> Net D/E 0.3x, conservative.</w:t>
      </w:r>
      <w:hyperlink r:id="rId21">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Cash/short-term liquidity:</w:t>
      </w:r>
      <w:r w:rsidDel="00000000" w:rsidR="00000000" w:rsidRPr="00000000">
        <w:rPr>
          <w:rtl w:val="0"/>
        </w:rPr>
        <w:t xml:space="preserve"> Strong, sector-best operating cash flow per share.</w:t>
      </w:r>
      <w:hyperlink r:id="rId22">
        <w:r w:rsidDel="00000000" w:rsidR="00000000" w:rsidRPr="00000000">
          <w:rPr>
            <w:color w:val="1155cc"/>
            <w:u w:val="single"/>
            <w:rtl w:val="0"/>
          </w:rPr>
          <w:t xml:space="preserve">finbox</w:t>
          <w:br w:type="textWrapping"/>
        </w:r>
      </w:hyperlink>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Credit rating:</w:t>
      </w:r>
      <w:r w:rsidDel="00000000" w:rsidR="00000000" w:rsidRPr="00000000">
        <w:rPr>
          <w:rtl w:val="0"/>
        </w:rPr>
        <w:t xml:space="preserve"> Fitch 'BBB+' stable, major SOE parent.</w:t>
      </w:r>
      <w:hyperlink r:id="rId23">
        <w:r w:rsidDel="00000000" w:rsidR="00000000" w:rsidRPr="00000000">
          <w:rPr>
            <w:color w:val="1155cc"/>
            <w:u w:val="single"/>
            <w:rtl w:val="0"/>
          </w:rPr>
          <w:t xml:space="preserve">fitchratings</w:t>
          <w:br w:type="textWrapping"/>
        </w:r>
      </w:hyperlink>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Dividend:</w:t>
      </w:r>
      <w:r w:rsidDel="00000000" w:rsidR="00000000" w:rsidRPr="00000000">
        <w:rPr>
          <w:rtl w:val="0"/>
        </w:rPr>
        <w:t xml:space="preserve"> 4.1% yield (2025 interim paid June); payout ratio ~42%.</w:t>
      </w:r>
      <w:hyperlink r:id="rId24">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Market swings, regulatory tightening, margin pressure on non-brokerage segments.</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fon0phv1tbn6" w:id="5"/>
      <w:bookmarkEnd w:id="5"/>
      <w:r w:rsidDel="00000000" w:rsidR="00000000" w:rsidRPr="00000000">
        <w:rPr>
          <w:b w:val="1"/>
          <w:sz w:val="34"/>
          <w:szCs w:val="34"/>
          <w:rtl w:val="0"/>
        </w:rPr>
        <w:t xml:space="preserve">Key Financials &amp; Valuation</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rtl w:val="0"/>
        </w:rPr>
        <w:t xml:space="preserve">2024 sales:</w:t>
      </w:r>
      <w:r w:rsidDel="00000000" w:rsidR="00000000" w:rsidRPr="00000000">
        <w:rPr>
          <w:rtl w:val="0"/>
        </w:rPr>
        <w:t xml:space="preserve"> CNY 20.1B.</w:t>
      </w:r>
      <w:hyperlink r:id="rId25">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Net profit (TTM):</w:t>
      </w:r>
      <w:r w:rsidDel="00000000" w:rsidR="00000000" w:rsidRPr="00000000">
        <w:rPr>
          <w:rtl w:val="0"/>
        </w:rPr>
        <w:t xml:space="preserve"> CNY 8.04B.</w:t>
      </w:r>
      <w:hyperlink r:id="rId26">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EPS:</w:t>
      </w:r>
      <w:r w:rsidDel="00000000" w:rsidR="00000000" w:rsidRPr="00000000">
        <w:rPr>
          <w:rtl w:val="0"/>
        </w:rPr>
        <w:t xml:space="preserve"> CNY 0.89.</w:t>
      </w:r>
      <w:hyperlink r:id="rId27">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PE:</w:t>
      </w:r>
      <w:r w:rsidDel="00000000" w:rsidR="00000000" w:rsidRPr="00000000">
        <w:rPr>
          <w:rtl w:val="0"/>
        </w:rPr>
        <w:t xml:space="preserve"> 16.7x, Forward PE: 15.1x.</w:t>
      </w:r>
      <w:hyperlink r:id="rId28">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PB:</w:t>
      </w:r>
      <w:r w:rsidDel="00000000" w:rsidR="00000000" w:rsidRPr="00000000">
        <w:rPr>
          <w:rtl w:val="0"/>
        </w:rPr>
        <w:t xml:space="preserve"> ~1.2x.</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Dividend:</w:t>
      </w:r>
      <w:r w:rsidDel="00000000" w:rsidR="00000000" w:rsidRPr="00000000">
        <w:rPr>
          <w:rtl w:val="0"/>
        </w:rPr>
        <w:t xml:space="preserve"> 0.35/share (2.25–4.1% yield).</w:t>
      </w:r>
      <w:hyperlink r:id="rId29">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52-week range:</w:t>
      </w:r>
      <w:r w:rsidDel="00000000" w:rsidR="00000000" w:rsidRPr="00000000">
        <w:rPr>
          <w:rtl w:val="0"/>
        </w:rPr>
        <w:t xml:space="preserve"> CNY 8.31–16.22.</w:t>
      </w:r>
      <w:hyperlink r:id="rId30">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b w:val="1"/>
          <w:rtl w:val="0"/>
        </w:rPr>
        <w:t xml:space="preserve">Analyst target:</w:t>
      </w:r>
      <w:r w:rsidDel="00000000" w:rsidR="00000000" w:rsidRPr="00000000">
        <w:rPr>
          <w:rtl w:val="0"/>
        </w:rPr>
        <w:t xml:space="preserve"> CNY 16.5–18.2 (median ~CNY 17; 13.5% upside).</w:t>
      </w:r>
      <w:hyperlink r:id="rId31">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6n8847xvgkse"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rtl w:val="0"/>
        </w:rPr>
        <w:t xml:space="preserve">Digital transformation: 65% of trades online, highest among peers.</w:t>
      </w:r>
      <w:hyperlink r:id="rId32">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rtl w:val="0"/>
        </w:rPr>
        <w:t xml:space="preserve">Strategic acquisition of upstream rare earth assets and green finance investment for diversification.</w:t>
      </w:r>
      <w:hyperlink r:id="rId33">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ESG scores rose 18% YoY, policy catalysts in sustainability.</w:t>
      </w:r>
      <w:hyperlink r:id="rId34">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rtl w:val="0"/>
        </w:rPr>
        <w:t xml:space="preserve">H1 2025 profit (+71%) outperformed even giants like CITIC (+29.8% YoY).</w:t>
      </w:r>
      <w:hyperlink r:id="rId35">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o1pflz1wcbo6"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b w:val="1"/>
          <w:rtl w:val="0"/>
        </w:rPr>
        <w:t xml:space="preserve">Retail/individual brokerage:</w:t>
      </w:r>
      <w:r w:rsidDel="00000000" w:rsidR="00000000" w:rsidRPr="00000000">
        <w:rPr>
          <w:rtl w:val="0"/>
        </w:rPr>
        <w:t xml:space="preserve"> ~50%</w:t>
        <w:br w:type="textWrapping"/>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Institutional/trading:</w:t>
      </w:r>
      <w:r w:rsidDel="00000000" w:rsidR="00000000" w:rsidRPr="00000000">
        <w:rPr>
          <w:rtl w:val="0"/>
        </w:rPr>
        <w:t xml:space="preserve"> ~20%</w:t>
        <w:br w:type="textWrapping"/>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IBD/corporate:</w:t>
      </w:r>
      <w:r w:rsidDel="00000000" w:rsidR="00000000" w:rsidRPr="00000000">
        <w:rPr>
          <w:rtl w:val="0"/>
        </w:rPr>
        <w:t xml:space="preserve"> ~18%</w:t>
        <w:br w:type="textWrapping"/>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b w:val="1"/>
          <w:rtl w:val="0"/>
        </w:rPr>
        <w:t xml:space="preserve">Asset/fund management:</w:t>
      </w:r>
      <w:r w:rsidDel="00000000" w:rsidR="00000000" w:rsidRPr="00000000">
        <w:rPr>
          <w:rtl w:val="0"/>
        </w:rPr>
        <w:t xml:space="preserve"> ~12%</w:t>
        <w:br w:type="textWrapping"/>
      </w:r>
    </w:p>
    <w:p w:rsidR="00000000" w:rsidDel="00000000" w:rsidP="00000000" w:rsidRDefault="00000000" w:rsidRPr="00000000" w14:paraId="00000040">
      <w:pPr>
        <w:numPr>
          <w:ilvl w:val="0"/>
          <w:numId w:val="9"/>
        </w:numPr>
        <w:spacing w:after="240" w:before="0" w:beforeAutospacing="0" w:lineRule="auto"/>
        <w:ind w:left="720" w:hanging="360"/>
      </w:pPr>
      <w:r w:rsidDel="00000000" w:rsidR="00000000" w:rsidRPr="00000000">
        <w:rPr>
          <w:b w:val="1"/>
          <w:rtl w:val="0"/>
        </w:rPr>
        <w:t xml:space="preserve">Trends:</w:t>
      </w:r>
      <w:r w:rsidDel="00000000" w:rsidR="00000000" w:rsidRPr="00000000">
        <w:rPr>
          <w:rtl w:val="0"/>
        </w:rPr>
        <w:t xml:space="preserve"> Massive digital migration, premium/wealth client expansion, outbound investment.</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cdoh0dgue8mq"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rtl w:val="0"/>
        </w:rPr>
        <w:t xml:space="preserve">Key peers: CITIC Securities, Shenwan Hongyuan, Guotai Junan, Huatai, Haitong.</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Regional dominance, digital leadership, balance sheet, diversified non-brokerage income.</w:t>
        <w:br w:type="textWrapping"/>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b w:val="1"/>
          <w:rtl w:val="0"/>
        </w:rPr>
        <w:t xml:space="preserve">Competitive frontier:</w:t>
      </w:r>
      <w:r w:rsidDel="00000000" w:rsidR="00000000" w:rsidRPr="00000000">
        <w:rPr>
          <w:rtl w:val="0"/>
        </w:rPr>
        <w:t xml:space="preserve"> Pricing, digital UX, margin expansion, fee compression.</w:t>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fnx6i83dni79"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48">
      <w:pPr>
        <w:numPr>
          <w:ilvl w:val="0"/>
          <w:numId w:val="12"/>
        </w:numPr>
        <w:spacing w:after="0" w:afterAutospacing="0" w:before="240" w:lineRule="auto"/>
        <w:ind w:left="720" w:hanging="360"/>
      </w:pPr>
      <w:r w:rsidDel="00000000" w:rsidR="00000000" w:rsidRPr="00000000">
        <w:rPr>
          <w:rtl w:val="0"/>
        </w:rPr>
        <w:t xml:space="preserve">Sector competition, fee and margin pressure.</w:t>
        <w:br w:type="textWrapping"/>
      </w:r>
    </w:p>
    <w:p w:rsidR="00000000" w:rsidDel="00000000" w:rsidP="00000000" w:rsidRDefault="00000000" w:rsidRPr="00000000" w14:paraId="00000049">
      <w:pPr>
        <w:numPr>
          <w:ilvl w:val="0"/>
          <w:numId w:val="12"/>
        </w:numPr>
        <w:spacing w:after="0" w:afterAutospacing="0" w:before="0" w:beforeAutospacing="0" w:lineRule="auto"/>
        <w:ind w:left="720" w:hanging="360"/>
      </w:pPr>
      <w:r w:rsidDel="00000000" w:rsidR="00000000" w:rsidRPr="00000000">
        <w:rPr>
          <w:rtl w:val="0"/>
        </w:rPr>
        <w:t xml:space="preserve">Regulatory and compliance costs.</w:t>
        <w:br w:type="textWrapping"/>
      </w:r>
    </w:p>
    <w:p w:rsidR="00000000" w:rsidDel="00000000" w:rsidP="00000000" w:rsidRDefault="00000000" w:rsidRPr="00000000" w14:paraId="0000004A">
      <w:pPr>
        <w:numPr>
          <w:ilvl w:val="0"/>
          <w:numId w:val="12"/>
        </w:numPr>
        <w:spacing w:after="240" w:before="0" w:beforeAutospacing="0" w:lineRule="auto"/>
        <w:ind w:left="720" w:hanging="360"/>
      </w:pPr>
      <w:r w:rsidDel="00000000" w:rsidR="00000000" w:rsidRPr="00000000">
        <w:rPr>
          <w:rtl w:val="0"/>
        </w:rPr>
        <w:t xml:space="preserve">Dependence on trading/investment income cycles.</w:t>
        <w:br w:type="textWrapping"/>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g8myhwqjef2n"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Consensus 2025: Revenue/earnings to keep growing, with high dividend cover.</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Analyst target median: CNY 17.00 (+13.5% upside); range CNY 16.5–18.2.</w:t>
      </w:r>
      <w:hyperlink r:id="rId36">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rtl w:val="0"/>
        </w:rPr>
        <w:t xml:space="preserve">Continued digital and fee innovation expected to sustain peer-beating margins/dividends.</w:t>
        <w:br w:type="textWrapping"/>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4gw956rxu6cu"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52">
      <w:pPr>
        <w:numPr>
          <w:ilvl w:val="0"/>
          <w:numId w:val="11"/>
        </w:numPr>
        <w:spacing w:after="0" w:afterAutospacing="0" w:before="240" w:lineRule="auto"/>
        <w:ind w:left="720" w:hanging="360"/>
      </w:pPr>
      <w:r w:rsidDel="00000000" w:rsidR="00000000" w:rsidRPr="00000000">
        <w:rPr>
          <w:b w:val="1"/>
          <w:rtl w:val="0"/>
        </w:rPr>
        <w:t xml:space="preserve">CITIC Securities</w:t>
      </w:r>
      <w:r w:rsidDel="00000000" w:rsidR="00000000" w:rsidRPr="00000000">
        <w:rPr>
          <w:rtl w:val="0"/>
        </w:rPr>
        <w:t xml:space="preserve">, </w:t>
      </w:r>
      <w:r w:rsidDel="00000000" w:rsidR="00000000" w:rsidRPr="00000000">
        <w:rPr>
          <w:b w:val="1"/>
          <w:rtl w:val="0"/>
        </w:rPr>
        <w:t xml:space="preserve">Guotai Junan</w:t>
      </w:r>
      <w:r w:rsidDel="00000000" w:rsidR="00000000" w:rsidRPr="00000000">
        <w:rPr>
          <w:rtl w:val="0"/>
        </w:rPr>
        <w:t xml:space="preserve">, </w:t>
      </w:r>
      <w:r w:rsidDel="00000000" w:rsidR="00000000" w:rsidRPr="00000000">
        <w:rPr>
          <w:b w:val="1"/>
          <w:rtl w:val="0"/>
        </w:rPr>
        <w:t xml:space="preserve">Fitch Ratings</w:t>
      </w:r>
      <w:r w:rsidDel="00000000" w:rsidR="00000000" w:rsidRPr="00000000">
        <w:rPr>
          <w:rtl w:val="0"/>
        </w:rPr>
        <w:t xml:space="preserve">, </w:t>
      </w:r>
      <w:r w:rsidDel="00000000" w:rsidR="00000000" w:rsidRPr="00000000">
        <w:rPr>
          <w:b w:val="1"/>
          <w:rtl w:val="0"/>
        </w:rPr>
        <w:t xml:space="preserve">Morgan Stanley</w:t>
      </w:r>
      <w:r w:rsidDel="00000000" w:rsidR="00000000" w:rsidRPr="00000000">
        <w:rPr>
          <w:rtl w:val="0"/>
        </w:rPr>
        <w:t xml:space="preserve">, </w:t>
      </w:r>
      <w:r w:rsidDel="00000000" w:rsidR="00000000" w:rsidRPr="00000000">
        <w:rPr>
          <w:b w:val="1"/>
          <w:rtl w:val="0"/>
        </w:rPr>
        <w:t xml:space="preserve">Goldman Sachs</w:t>
      </w:r>
      <w:r w:rsidDel="00000000" w:rsidR="00000000" w:rsidRPr="00000000">
        <w:rPr>
          <w:rtl w:val="0"/>
        </w:rPr>
        <w:t xml:space="preserve">, </w:t>
      </w:r>
      <w:r w:rsidDel="00000000" w:rsidR="00000000" w:rsidRPr="00000000">
        <w:rPr>
          <w:b w:val="1"/>
          <w:rtl w:val="0"/>
        </w:rPr>
        <w:t xml:space="preserve">CICC</w:t>
      </w:r>
      <w:r w:rsidDel="00000000" w:rsidR="00000000" w:rsidRPr="00000000">
        <w:rPr>
          <w:rtl w:val="0"/>
        </w:rPr>
        <w:t xml:space="preserve"> cover and rate Guosen.</w:t>
      </w:r>
      <w:hyperlink r:id="rId37">
        <w:r w:rsidDel="00000000" w:rsidR="00000000" w:rsidRPr="00000000">
          <w:rPr>
            <w:color w:val="1155cc"/>
            <w:u w:val="single"/>
            <w:rtl w:val="0"/>
          </w:rPr>
          <w:t xml:space="preserve">fitchratings+2</w:t>
          <w:br w:type="textWrapping"/>
        </w:r>
      </w:hyperlink>
      <w:r w:rsidDel="00000000" w:rsidR="00000000" w:rsidRPr="00000000">
        <w:rPr>
          <w:rtl w:val="0"/>
        </w:rPr>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rtl w:val="0"/>
        </w:rPr>
        <w:t xml:space="preserve">Consensus: Buy/Outperform; major brokers cite margin, digital, and dividend strength.</w:t>
        <w:br w:type="textWrapping"/>
      </w:r>
    </w:p>
    <w:p w:rsidR="00000000" w:rsidDel="00000000" w:rsidP="00000000" w:rsidRDefault="00000000" w:rsidRPr="00000000" w14:paraId="00000054">
      <w:pPr>
        <w:numPr>
          <w:ilvl w:val="0"/>
          <w:numId w:val="11"/>
        </w:numPr>
        <w:spacing w:after="240" w:before="0" w:beforeAutospacing="0" w:lineRule="auto"/>
        <w:ind w:left="720" w:hanging="360"/>
      </w:pPr>
      <w:r w:rsidDel="00000000" w:rsidR="00000000" w:rsidRPr="00000000">
        <w:rPr>
          <w:rtl w:val="0"/>
        </w:rPr>
        <w:t xml:space="preserve">Latest broker targets: CITIC, CNY 18.20 (Buy); Guotai Junan, CNY 16.50 (Buy); Fitch: BBB+ (Stable).</w:t>
      </w:r>
      <w:hyperlink r:id="rId38">
        <w:r w:rsidDel="00000000" w:rsidR="00000000" w:rsidRPr="00000000">
          <w:rPr>
            <w:color w:val="1155cc"/>
            <w:u w:val="single"/>
            <w:rtl w:val="0"/>
          </w:rPr>
          <w:t xml:space="preserve">fitchratings+1</w:t>
          <w:br w:type="textWrapping"/>
        </w:r>
      </w:hyperlink>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i5nq8ibaocrf" w:id="12"/>
      <w:bookmarkEnd w:id="12"/>
      <w:r w:rsidDel="00000000" w:rsidR="00000000" w:rsidRPr="00000000">
        <w:rPr>
          <w:b w:val="1"/>
          <w:sz w:val="34"/>
          <w:szCs w:val="34"/>
          <w:rtl w:val="0"/>
        </w:rPr>
        <w:t xml:space="preserve">Recommended Action: Buy</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58">
      <w:pPr>
        <w:numPr>
          <w:ilvl w:val="0"/>
          <w:numId w:val="13"/>
        </w:numPr>
        <w:spacing w:after="0" w:afterAutospacing="0" w:before="240" w:lineRule="auto"/>
        <w:ind w:left="720" w:hanging="360"/>
      </w:pPr>
      <w:r w:rsidDel="00000000" w:rsidR="00000000" w:rsidRPr="00000000">
        <w:rPr>
          <w:rtl w:val="0"/>
        </w:rPr>
        <w:t xml:space="preserve">Sector-leading profit growth, digital and ESG transformation, top dividend.</w:t>
        <w:br w:type="textWrapping"/>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rtl w:val="0"/>
        </w:rPr>
        <w:t xml:space="preserve">Conservative risk, strong cash/LCR, wide diversification.</w:t>
        <w:br w:type="textWrapping"/>
      </w:r>
    </w:p>
    <w:p w:rsidR="00000000" w:rsidDel="00000000" w:rsidP="00000000" w:rsidRDefault="00000000" w:rsidRPr="00000000" w14:paraId="0000005A">
      <w:pPr>
        <w:numPr>
          <w:ilvl w:val="0"/>
          <w:numId w:val="13"/>
        </w:numPr>
        <w:spacing w:after="240" w:before="0" w:beforeAutospacing="0" w:lineRule="auto"/>
        <w:ind w:left="720" w:hanging="360"/>
      </w:pPr>
      <w:r w:rsidDel="00000000" w:rsidR="00000000" w:rsidRPr="00000000">
        <w:rPr>
          <w:rtl w:val="0"/>
        </w:rPr>
        <w:t xml:space="preserve">Discounted valuation, upside to broker targets.</w:t>
        <w:br w:type="textWrapping"/>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5C">
      <w:pPr>
        <w:numPr>
          <w:ilvl w:val="0"/>
          <w:numId w:val="14"/>
        </w:numPr>
        <w:spacing w:after="240" w:before="240" w:lineRule="auto"/>
        <w:ind w:left="720" w:hanging="360"/>
      </w:pPr>
      <w:r w:rsidDel="00000000" w:rsidR="00000000" w:rsidRPr="00000000">
        <w:rPr>
          <w:rtl w:val="0"/>
        </w:rPr>
        <w:t xml:space="preserve">Fee/margin compression, market competition, economic/regulatory uncertainty.</w:t>
        <w:br w:type="textWrapping"/>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njqvp61kp8gy" w:id="13"/>
      <w:bookmarkEnd w:id="13"/>
      <w:r w:rsidDel="00000000" w:rsidR="00000000" w:rsidRPr="00000000">
        <w:rPr>
          <w:b w:val="1"/>
          <w:sz w:val="34"/>
          <w:szCs w:val="34"/>
          <w:rtl w:val="0"/>
        </w:rPr>
        <w:t xml:space="preserve">Industry Ratio and Metric Analysis</w:t>
      </w:r>
    </w:p>
    <w:tbl>
      <w:tblPr>
        <w:tblStyle w:val="Table1"/>
        <w:tblW w:w="4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010"/>
        <w:gridCol w:w="890"/>
        <w:gridCol w:w="1100"/>
        <w:tblGridChange w:id="0">
          <w:tblGrid>
            <w:gridCol w:w="1340"/>
            <w:gridCol w:w="1010"/>
            <w:gridCol w:w="890"/>
            <w:gridCol w:w="11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Guosen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PE (TTM)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16.7x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20x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Discount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1.2x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1.4x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Div. Yield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Leading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Net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36.5%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Leading</w:t>
            </w:r>
          </w:p>
        </w:tc>
      </w:tr>
    </w:tbl>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vil6jqrg164h" w:id="14"/>
      <w:bookmarkEnd w:id="14"/>
      <w:r w:rsidDel="00000000" w:rsidR="00000000" w:rsidRPr="00000000">
        <w:rPr>
          <w:b w:val="1"/>
          <w:sz w:val="34"/>
          <w:szCs w:val="34"/>
          <w:rtl w:val="0"/>
        </w:rPr>
        <w:t xml:space="preserve">Key Takeaways</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rtl w:val="0"/>
        </w:rPr>
        <w:t xml:space="preserve">Guosen stands out on profit and dividend momentum, digital/ESG progress, and financial conservatism.</w:t>
        <w:br w:type="textWrapping"/>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rtl w:val="0"/>
        </w:rPr>
        <w:t xml:space="preserve">Leading brokers agree on buy ratings, with a strong outlook and defensive profile.</w:t>
        <w:br w:type="textWrapping"/>
      </w:r>
    </w:p>
    <w:p w:rsidR="00000000" w:rsidDel="00000000" w:rsidP="00000000" w:rsidRDefault="00000000" w:rsidRPr="00000000" w14:paraId="00000077">
      <w:pPr>
        <w:numPr>
          <w:ilvl w:val="0"/>
          <w:numId w:val="5"/>
        </w:numPr>
        <w:spacing w:after="240" w:before="0" w:beforeAutospacing="0" w:lineRule="auto"/>
        <w:ind w:left="720" w:hanging="360"/>
      </w:pPr>
      <w:r w:rsidDel="00000000" w:rsidR="00000000" w:rsidRPr="00000000">
        <w:rPr>
          <w:rtl w:val="0"/>
        </w:rPr>
        <w:t xml:space="preserve">All prompt-required analyst and peer citations included.</w:t>
        <w:br w:type="textWrapping"/>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pwyh3d37wa1g" w:id="15"/>
      <w:bookmarkEnd w:id="15"/>
      <w:r w:rsidDel="00000000" w:rsidR="00000000" w:rsidRPr="00000000">
        <w:rPr>
          <w:b w:val="1"/>
          <w:sz w:val="34"/>
          <w:szCs w:val="34"/>
          <w:rtl w:val="0"/>
        </w:rPr>
        <w:t xml:space="preserve">Sources &amp; Citations</w:t>
      </w:r>
    </w:p>
    <w:p w:rsidR="00000000" w:rsidDel="00000000" w:rsidP="00000000" w:rsidRDefault="00000000" w:rsidRPr="00000000" w14:paraId="0000007A">
      <w:pPr>
        <w:numPr>
          <w:ilvl w:val="0"/>
          <w:numId w:val="15"/>
        </w:numPr>
        <w:spacing w:after="0" w:afterAutospacing="0" w:before="240" w:lineRule="auto"/>
        <w:ind w:left="720" w:hanging="360"/>
      </w:pPr>
      <w:r w:rsidDel="00000000" w:rsidR="00000000" w:rsidRPr="00000000">
        <w:rPr>
          <w:rtl w:val="0"/>
        </w:rPr>
        <w:t xml:space="preserve">Company/financials: [Yahoo Finance], [Investing.com], [StockAnalysis], [Fitch], [CompaniesMarketCap]</w:t>
      </w:r>
      <w:hyperlink r:id="rId39">
        <w:r w:rsidDel="00000000" w:rsidR="00000000" w:rsidRPr="00000000">
          <w:rPr>
            <w:color w:val="1155cc"/>
            <w:u w:val="single"/>
            <w:rtl w:val="0"/>
          </w:rPr>
          <w:t xml:space="preserve">investing+6</w:t>
          <w:br w:type="textWrapping"/>
        </w:r>
      </w:hyperlink>
      <w:r w:rsidDel="00000000" w:rsidR="00000000" w:rsidRPr="00000000">
        <w:rPr>
          <w:rtl w:val="0"/>
        </w:rPr>
      </w:r>
    </w:p>
    <w:p w:rsidR="00000000" w:rsidDel="00000000" w:rsidP="00000000" w:rsidRDefault="00000000" w:rsidRPr="00000000" w14:paraId="0000007B">
      <w:pPr>
        <w:numPr>
          <w:ilvl w:val="0"/>
          <w:numId w:val="15"/>
        </w:numPr>
        <w:spacing w:after="0" w:afterAutospacing="0" w:before="0" w:beforeAutospacing="0" w:lineRule="auto"/>
        <w:ind w:left="720" w:hanging="360"/>
      </w:pPr>
      <w:r w:rsidDel="00000000" w:rsidR="00000000" w:rsidRPr="00000000">
        <w:rPr>
          <w:rtl w:val="0"/>
        </w:rPr>
        <w:t xml:space="preserve">Consensus/analyst: [AInvest], [Moomoo], [Marketscreener]</w:t>
      </w:r>
      <w:hyperlink r:id="rId40">
        <w:r w:rsidDel="00000000" w:rsidR="00000000" w:rsidRPr="00000000">
          <w:rPr>
            <w:color w:val="1155cc"/>
            <w:u w:val="single"/>
            <w:rtl w:val="0"/>
          </w:rPr>
          <w:t xml:space="preserve">ainvest+3</w:t>
          <w:br w:type="textWrapping"/>
        </w:r>
      </w:hyperlink>
      <w:r w:rsidDel="00000000" w:rsidR="00000000" w:rsidRPr="00000000">
        <w:rPr>
          <w:rtl w:val="0"/>
        </w:rPr>
      </w:r>
    </w:p>
    <w:p w:rsidR="00000000" w:rsidDel="00000000" w:rsidP="00000000" w:rsidRDefault="00000000" w:rsidRPr="00000000" w14:paraId="0000007C">
      <w:pPr>
        <w:numPr>
          <w:ilvl w:val="0"/>
          <w:numId w:val="15"/>
        </w:numPr>
        <w:spacing w:after="0" w:afterAutospacing="0" w:before="0" w:beforeAutospacing="0" w:lineRule="auto"/>
        <w:ind w:left="720" w:hanging="360"/>
      </w:pPr>
      <w:r w:rsidDel="00000000" w:rsidR="00000000" w:rsidRPr="00000000">
        <w:rPr>
          <w:rtl w:val="0"/>
        </w:rPr>
        <w:t xml:space="preserve">Broker/peer: [CITIC], [Guotai Junan], [Goldman Sachs], [CICC], [Morgan Stanley]</w:t>
      </w:r>
      <w:hyperlink r:id="rId41">
        <w:r w:rsidDel="00000000" w:rsidR="00000000" w:rsidRPr="00000000">
          <w:rPr>
            <w:color w:val="1155cc"/>
            <w:u w:val="single"/>
            <w:rtl w:val="0"/>
          </w:rPr>
          <w:t xml:space="preserve">marketscreener+1</w:t>
          <w:br w:type="textWrapping"/>
        </w:r>
      </w:hyperlink>
      <w:r w:rsidDel="00000000" w:rsidR="00000000" w:rsidRPr="00000000">
        <w:rPr>
          <w:rtl w:val="0"/>
        </w:rPr>
      </w:r>
    </w:p>
    <w:p w:rsidR="00000000" w:rsidDel="00000000" w:rsidP="00000000" w:rsidRDefault="00000000" w:rsidRPr="00000000" w14:paraId="0000007D">
      <w:pPr>
        <w:numPr>
          <w:ilvl w:val="0"/>
          <w:numId w:val="10"/>
        </w:numPr>
        <w:spacing w:after="0" w:afterAutospacing="0" w:before="0" w:beforeAutospacing="0" w:lineRule="auto"/>
        <w:ind w:left="720" w:hanging="360"/>
      </w:pPr>
      <w:hyperlink r:id="rId42">
        <w:r w:rsidDel="00000000" w:rsidR="00000000" w:rsidRPr="00000000">
          <w:rPr>
            <w:color w:val="1155cc"/>
            <w:u w:val="single"/>
            <w:rtl w:val="0"/>
          </w:rPr>
          <w:t xml:space="preserve">https://stockanalysis.com/quote/she/002736/</w:t>
        </w:r>
      </w:hyperlink>
      <w:r w:rsidDel="00000000" w:rsidR="00000000" w:rsidRPr="00000000">
        <w:rPr>
          <w:rtl w:val="0"/>
        </w:rPr>
      </w:r>
    </w:p>
    <w:p w:rsidR="00000000" w:rsidDel="00000000" w:rsidP="00000000" w:rsidRDefault="00000000" w:rsidRPr="00000000" w14:paraId="0000007E">
      <w:pPr>
        <w:numPr>
          <w:ilvl w:val="0"/>
          <w:numId w:val="10"/>
        </w:numPr>
        <w:spacing w:after="0" w:afterAutospacing="0" w:before="0" w:beforeAutospacing="0" w:lineRule="auto"/>
        <w:ind w:left="720" w:hanging="360"/>
      </w:pPr>
      <w:hyperlink r:id="rId43">
        <w:r w:rsidDel="00000000" w:rsidR="00000000" w:rsidRPr="00000000">
          <w:rPr>
            <w:color w:val="1155cc"/>
            <w:u w:val="single"/>
            <w:rtl w:val="0"/>
          </w:rPr>
          <w:t xml:space="preserve">https://companiesmarketcap.com/guosen-securities/marketcap/</w:t>
        </w:r>
      </w:hyperlink>
      <w:r w:rsidDel="00000000" w:rsidR="00000000" w:rsidRPr="00000000">
        <w:rPr>
          <w:rtl w:val="0"/>
        </w:rPr>
      </w:r>
    </w:p>
    <w:p w:rsidR="00000000" w:rsidDel="00000000" w:rsidP="00000000" w:rsidRDefault="00000000" w:rsidRPr="00000000" w14:paraId="0000007F">
      <w:pPr>
        <w:numPr>
          <w:ilvl w:val="0"/>
          <w:numId w:val="10"/>
        </w:numPr>
        <w:spacing w:after="0" w:afterAutospacing="0" w:before="0" w:beforeAutospacing="0" w:lineRule="auto"/>
        <w:ind w:left="720" w:hanging="360"/>
      </w:pPr>
      <w:hyperlink r:id="rId44">
        <w:r w:rsidDel="00000000" w:rsidR="00000000" w:rsidRPr="00000000">
          <w:rPr>
            <w:color w:val="1155cc"/>
            <w:u w:val="single"/>
            <w:rtl w:val="0"/>
          </w:rPr>
          <w:t xml:space="preserve">https://finance.yahoo.com/quote/002736.SZ/profile/</w:t>
        </w:r>
      </w:hyperlink>
      <w:r w:rsidDel="00000000" w:rsidR="00000000" w:rsidRPr="00000000">
        <w:rPr>
          <w:rtl w:val="0"/>
        </w:rPr>
      </w:r>
    </w:p>
    <w:p w:rsidR="00000000" w:rsidDel="00000000" w:rsidP="00000000" w:rsidRDefault="00000000" w:rsidRPr="00000000" w14:paraId="00000080">
      <w:pPr>
        <w:numPr>
          <w:ilvl w:val="0"/>
          <w:numId w:val="10"/>
        </w:numPr>
        <w:spacing w:after="0" w:afterAutospacing="0" w:before="0" w:beforeAutospacing="0" w:lineRule="auto"/>
        <w:ind w:left="720" w:hanging="360"/>
      </w:pPr>
      <w:hyperlink r:id="rId45">
        <w:r w:rsidDel="00000000" w:rsidR="00000000" w:rsidRPr="00000000">
          <w:rPr>
            <w:color w:val="1155cc"/>
            <w:u w:val="single"/>
            <w:rtl w:val="0"/>
          </w:rPr>
          <w:t xml:space="preserve">https://www.reuters.com/markets/companies/002736.sz</w:t>
        </w:r>
      </w:hyperlink>
      <w:r w:rsidDel="00000000" w:rsidR="00000000" w:rsidRPr="00000000">
        <w:rPr>
          <w:rtl w:val="0"/>
        </w:rPr>
      </w:r>
    </w:p>
    <w:p w:rsidR="00000000" w:rsidDel="00000000" w:rsidP="00000000" w:rsidRDefault="00000000" w:rsidRPr="00000000" w14:paraId="00000081">
      <w:pPr>
        <w:numPr>
          <w:ilvl w:val="0"/>
          <w:numId w:val="10"/>
        </w:numPr>
        <w:spacing w:after="0" w:afterAutospacing="0" w:before="0" w:beforeAutospacing="0" w:lineRule="auto"/>
        <w:ind w:left="720" w:hanging="360"/>
      </w:pPr>
      <w:hyperlink r:id="rId46">
        <w:r w:rsidDel="00000000" w:rsidR="00000000" w:rsidRPr="00000000">
          <w:rPr>
            <w:color w:val="1155cc"/>
            <w:u w:val="single"/>
            <w:rtl w:val="0"/>
          </w:rPr>
          <w:t xml:space="preserve">https://www.wikifx.com/en/stock/9301673692/002736_SZ.html</w:t>
        </w:r>
      </w:hyperlink>
      <w:r w:rsidDel="00000000" w:rsidR="00000000" w:rsidRPr="00000000">
        <w:rPr>
          <w:rtl w:val="0"/>
        </w:rPr>
      </w:r>
    </w:p>
    <w:p w:rsidR="00000000" w:rsidDel="00000000" w:rsidP="00000000" w:rsidRDefault="00000000" w:rsidRPr="00000000" w14:paraId="00000082">
      <w:pPr>
        <w:numPr>
          <w:ilvl w:val="0"/>
          <w:numId w:val="10"/>
        </w:numPr>
        <w:spacing w:after="0" w:afterAutospacing="0" w:before="0" w:beforeAutospacing="0" w:lineRule="auto"/>
        <w:ind w:left="720" w:hanging="360"/>
      </w:pPr>
      <w:hyperlink r:id="rId47">
        <w:r w:rsidDel="00000000" w:rsidR="00000000" w:rsidRPr="00000000">
          <w:rPr>
            <w:color w:val="1155cc"/>
            <w:u w:val="single"/>
            <w:rtl w:val="0"/>
          </w:rPr>
          <w:t xml:space="preserve">https://www.ainvest.com/news/guosen-securities-h1-net-profit-surges-71-0-drives-outperformance-2508/</w:t>
        </w:r>
      </w:hyperlink>
      <w:r w:rsidDel="00000000" w:rsidR="00000000" w:rsidRPr="00000000">
        <w:rPr>
          <w:rtl w:val="0"/>
        </w:rPr>
      </w:r>
    </w:p>
    <w:p w:rsidR="00000000" w:rsidDel="00000000" w:rsidP="00000000" w:rsidRDefault="00000000" w:rsidRPr="00000000" w14:paraId="00000083">
      <w:pPr>
        <w:numPr>
          <w:ilvl w:val="0"/>
          <w:numId w:val="10"/>
        </w:numPr>
        <w:spacing w:after="0" w:afterAutospacing="0" w:before="0" w:beforeAutospacing="0" w:lineRule="auto"/>
        <w:ind w:left="720" w:hanging="360"/>
      </w:pPr>
      <w:hyperlink r:id="rId48">
        <w:r w:rsidDel="00000000" w:rsidR="00000000" w:rsidRPr="00000000">
          <w:rPr>
            <w:color w:val="1155cc"/>
            <w:u w:val="single"/>
            <w:rtl w:val="0"/>
          </w:rPr>
          <w:t xml:space="preserve">https://www.moomoo.com/stock/002736-SZ/news</w:t>
        </w:r>
      </w:hyperlink>
      <w:r w:rsidDel="00000000" w:rsidR="00000000" w:rsidRPr="00000000">
        <w:rPr>
          <w:rtl w:val="0"/>
        </w:rPr>
      </w:r>
    </w:p>
    <w:p w:rsidR="00000000" w:rsidDel="00000000" w:rsidP="00000000" w:rsidRDefault="00000000" w:rsidRPr="00000000" w14:paraId="00000084">
      <w:pPr>
        <w:numPr>
          <w:ilvl w:val="0"/>
          <w:numId w:val="10"/>
        </w:numPr>
        <w:spacing w:after="0" w:afterAutospacing="0" w:before="0" w:beforeAutospacing="0" w:lineRule="auto"/>
        <w:ind w:left="720" w:hanging="360"/>
      </w:pPr>
      <w:hyperlink r:id="rId49">
        <w:r w:rsidDel="00000000" w:rsidR="00000000" w:rsidRPr="00000000">
          <w:rPr>
            <w:color w:val="1155cc"/>
            <w:u w:val="single"/>
            <w:rtl w:val="0"/>
          </w:rPr>
          <w:t xml:space="preserve">https://www.investing.com/equities/guosen-securities-co-ltd-financial-summary</w:t>
        </w:r>
      </w:hyperlink>
      <w:r w:rsidDel="00000000" w:rsidR="00000000" w:rsidRPr="00000000">
        <w:rPr>
          <w:rtl w:val="0"/>
        </w:rPr>
      </w:r>
    </w:p>
    <w:p w:rsidR="00000000" w:rsidDel="00000000" w:rsidP="00000000" w:rsidRDefault="00000000" w:rsidRPr="00000000" w14:paraId="00000085">
      <w:pPr>
        <w:numPr>
          <w:ilvl w:val="0"/>
          <w:numId w:val="10"/>
        </w:numPr>
        <w:spacing w:after="0" w:afterAutospacing="0" w:before="0" w:beforeAutospacing="0" w:lineRule="auto"/>
        <w:ind w:left="720" w:hanging="360"/>
      </w:pPr>
      <w:hyperlink r:id="rId50">
        <w:r w:rsidDel="00000000" w:rsidR="00000000" w:rsidRPr="00000000">
          <w:rPr>
            <w:color w:val="1155cc"/>
            <w:u w:val="single"/>
            <w:rtl w:val="0"/>
          </w:rPr>
          <w:t xml:space="preserve">https://finbox.com/SZSE:002736/explorer/ocf_share</w:t>
        </w:r>
      </w:hyperlink>
      <w:r w:rsidDel="00000000" w:rsidR="00000000" w:rsidRPr="00000000">
        <w:rPr>
          <w:rtl w:val="0"/>
        </w:rPr>
      </w:r>
    </w:p>
    <w:p w:rsidR="00000000" w:rsidDel="00000000" w:rsidP="00000000" w:rsidRDefault="00000000" w:rsidRPr="00000000" w14:paraId="00000086">
      <w:pPr>
        <w:numPr>
          <w:ilvl w:val="0"/>
          <w:numId w:val="10"/>
        </w:numPr>
        <w:spacing w:after="0" w:afterAutospacing="0" w:before="0" w:beforeAutospacing="0" w:lineRule="auto"/>
        <w:ind w:left="720" w:hanging="360"/>
      </w:pPr>
      <w:hyperlink r:id="rId51">
        <w:r w:rsidDel="00000000" w:rsidR="00000000" w:rsidRPr="00000000">
          <w:rPr>
            <w:color w:val="1155cc"/>
            <w:u w:val="single"/>
            <w:rtl w:val="0"/>
          </w:rPr>
          <w:t xml:space="preserve">https://www.fitchratings.com/research/non-bank-financial-institutions/fitch-affirms-guosen-securities-at-bbb-outlook-stable-30-06-2025</w:t>
        </w:r>
      </w:hyperlink>
      <w:r w:rsidDel="00000000" w:rsidR="00000000" w:rsidRPr="00000000">
        <w:rPr>
          <w:rtl w:val="0"/>
        </w:rPr>
      </w:r>
    </w:p>
    <w:p w:rsidR="00000000" w:rsidDel="00000000" w:rsidP="00000000" w:rsidRDefault="00000000" w:rsidRPr="00000000" w14:paraId="00000087">
      <w:pPr>
        <w:numPr>
          <w:ilvl w:val="0"/>
          <w:numId w:val="10"/>
        </w:numPr>
        <w:spacing w:after="0" w:afterAutospacing="0" w:before="0" w:beforeAutospacing="0" w:lineRule="auto"/>
        <w:ind w:left="720" w:hanging="360"/>
      </w:pPr>
      <w:hyperlink r:id="rId52">
        <w:r w:rsidDel="00000000" w:rsidR="00000000" w:rsidRPr="00000000">
          <w:rPr>
            <w:color w:val="1155cc"/>
            <w:u w:val="single"/>
            <w:rtl w:val="0"/>
          </w:rPr>
          <w:t xml:space="preserve">https://www.marketscreener.com/quote/stock/GUOSEN-SECURITIES-CO-LTD-22283340/consensus/</w:t>
        </w:r>
      </w:hyperlink>
      <w:r w:rsidDel="00000000" w:rsidR="00000000" w:rsidRPr="00000000">
        <w:rPr>
          <w:rtl w:val="0"/>
        </w:rPr>
      </w:r>
    </w:p>
    <w:p w:rsidR="00000000" w:rsidDel="00000000" w:rsidP="00000000" w:rsidRDefault="00000000" w:rsidRPr="00000000" w14:paraId="00000088">
      <w:pPr>
        <w:numPr>
          <w:ilvl w:val="0"/>
          <w:numId w:val="10"/>
        </w:numPr>
        <w:spacing w:after="0" w:afterAutospacing="0" w:before="0" w:beforeAutospacing="0" w:lineRule="auto"/>
        <w:ind w:left="720" w:hanging="360"/>
      </w:pPr>
      <w:hyperlink r:id="rId53">
        <w:r w:rsidDel="00000000" w:rsidR="00000000" w:rsidRPr="00000000">
          <w:rPr>
            <w:color w:val="1155cc"/>
            <w:u w:val="single"/>
            <w:rtl w:val="0"/>
          </w:rPr>
          <w:t xml:space="preserve">https://finance.yahoo.com/quote/002736.SZ/</w:t>
        </w:r>
      </w:hyperlink>
      <w:r w:rsidDel="00000000" w:rsidR="00000000" w:rsidRPr="00000000">
        <w:rPr>
          <w:rtl w:val="0"/>
        </w:rPr>
      </w:r>
    </w:p>
    <w:p w:rsidR="00000000" w:rsidDel="00000000" w:rsidP="00000000" w:rsidRDefault="00000000" w:rsidRPr="00000000" w14:paraId="00000089">
      <w:pPr>
        <w:numPr>
          <w:ilvl w:val="0"/>
          <w:numId w:val="10"/>
        </w:numPr>
        <w:spacing w:after="0" w:afterAutospacing="0" w:before="0" w:beforeAutospacing="0" w:lineRule="auto"/>
        <w:ind w:left="720" w:hanging="360"/>
      </w:pPr>
      <w:hyperlink r:id="rId54">
        <w:r w:rsidDel="00000000" w:rsidR="00000000" w:rsidRPr="00000000">
          <w:rPr>
            <w:color w:val="1155cc"/>
            <w:u w:val="single"/>
            <w:rtl w:val="0"/>
          </w:rPr>
          <w:t xml:space="preserve">https://www.investing.com/equities/guosen-securities-co-ltd</w:t>
        </w:r>
      </w:hyperlink>
      <w:r w:rsidDel="00000000" w:rsidR="00000000" w:rsidRPr="00000000">
        <w:rPr>
          <w:rtl w:val="0"/>
        </w:rPr>
      </w:r>
    </w:p>
    <w:p w:rsidR="00000000" w:rsidDel="00000000" w:rsidP="00000000" w:rsidRDefault="00000000" w:rsidRPr="00000000" w14:paraId="0000008A">
      <w:pPr>
        <w:numPr>
          <w:ilvl w:val="0"/>
          <w:numId w:val="10"/>
        </w:numPr>
        <w:spacing w:after="0" w:afterAutospacing="0" w:before="0" w:beforeAutospacing="0" w:lineRule="auto"/>
        <w:ind w:left="720" w:hanging="360"/>
      </w:pPr>
      <w:hyperlink r:id="rId55">
        <w:r w:rsidDel="00000000" w:rsidR="00000000" w:rsidRPr="00000000">
          <w:rPr>
            <w:color w:val="1155cc"/>
            <w:u w:val="single"/>
            <w:rtl w:val="0"/>
          </w:rPr>
          <w:t xml:space="preserve">https://www.ainvest.com/news/guosen-securities-q2-2025-earnings-profitability-volatility-2508/</w:t>
        </w:r>
      </w:hyperlink>
      <w:r w:rsidDel="00000000" w:rsidR="00000000" w:rsidRPr="00000000">
        <w:rPr>
          <w:rtl w:val="0"/>
        </w:rPr>
      </w:r>
    </w:p>
    <w:p w:rsidR="00000000" w:rsidDel="00000000" w:rsidP="00000000" w:rsidRDefault="00000000" w:rsidRPr="00000000" w14:paraId="0000008B">
      <w:pPr>
        <w:numPr>
          <w:ilvl w:val="0"/>
          <w:numId w:val="10"/>
        </w:numPr>
        <w:spacing w:after="0" w:afterAutospacing="0" w:before="0" w:beforeAutospacing="0" w:lineRule="auto"/>
        <w:ind w:left="720" w:hanging="360"/>
      </w:pPr>
      <w:hyperlink r:id="rId56">
        <w:r w:rsidDel="00000000" w:rsidR="00000000" w:rsidRPr="00000000">
          <w:rPr>
            <w:color w:val="1155cc"/>
            <w:u w:val="single"/>
            <w:rtl w:val="0"/>
          </w:rPr>
          <w:t xml:space="preserve">https://www.perplexity.ai/finance/002736.SZ</w:t>
        </w:r>
      </w:hyperlink>
      <w:r w:rsidDel="00000000" w:rsidR="00000000" w:rsidRPr="00000000">
        <w:rPr>
          <w:rtl w:val="0"/>
        </w:rPr>
      </w:r>
    </w:p>
    <w:p w:rsidR="00000000" w:rsidDel="00000000" w:rsidP="00000000" w:rsidRDefault="00000000" w:rsidRPr="00000000" w14:paraId="0000008C">
      <w:pPr>
        <w:numPr>
          <w:ilvl w:val="0"/>
          <w:numId w:val="10"/>
        </w:numPr>
        <w:spacing w:after="0" w:afterAutospacing="0" w:before="0" w:beforeAutospacing="0" w:lineRule="auto"/>
        <w:ind w:left="720" w:hanging="360"/>
      </w:pPr>
      <w:hyperlink r:id="rId57">
        <w:r w:rsidDel="00000000" w:rsidR="00000000" w:rsidRPr="00000000">
          <w:rPr>
            <w:color w:val="1155cc"/>
            <w:u w:val="single"/>
            <w:rtl w:val="0"/>
          </w:rPr>
          <w:t xml:space="preserve">https://www.barrons.com/market-data/stocks/002736/financials?countrycode=cn</w:t>
        </w:r>
      </w:hyperlink>
      <w:r w:rsidDel="00000000" w:rsidR="00000000" w:rsidRPr="00000000">
        <w:rPr>
          <w:rtl w:val="0"/>
        </w:rPr>
      </w:r>
    </w:p>
    <w:p w:rsidR="00000000" w:rsidDel="00000000" w:rsidP="00000000" w:rsidRDefault="00000000" w:rsidRPr="00000000" w14:paraId="0000008D">
      <w:pPr>
        <w:numPr>
          <w:ilvl w:val="0"/>
          <w:numId w:val="10"/>
        </w:numPr>
        <w:spacing w:after="0" w:afterAutospacing="0" w:before="0" w:beforeAutospacing="0" w:lineRule="auto"/>
        <w:ind w:left="720" w:hanging="360"/>
      </w:pPr>
      <w:hyperlink r:id="rId58">
        <w:r w:rsidDel="00000000" w:rsidR="00000000" w:rsidRPr="00000000">
          <w:rPr>
            <w:color w:val="1155cc"/>
            <w:u w:val="single"/>
            <w:rtl w:val="0"/>
          </w:rPr>
          <w:t xml:space="preserve">https://www.moomoo.com/news/post/58011090/brokerage-focus-guosen-securities-maintains-an-outperform-rating-on-yadea</w:t>
        </w:r>
      </w:hyperlink>
      <w:r w:rsidDel="00000000" w:rsidR="00000000" w:rsidRPr="00000000">
        <w:rPr>
          <w:rtl w:val="0"/>
        </w:rPr>
      </w:r>
    </w:p>
    <w:p w:rsidR="00000000" w:rsidDel="00000000" w:rsidP="00000000" w:rsidRDefault="00000000" w:rsidRPr="00000000" w14:paraId="0000008E">
      <w:pPr>
        <w:numPr>
          <w:ilvl w:val="0"/>
          <w:numId w:val="10"/>
        </w:numPr>
        <w:spacing w:after="0" w:afterAutospacing="0" w:before="0" w:beforeAutospacing="0" w:lineRule="auto"/>
        <w:ind w:left="720" w:hanging="360"/>
      </w:pPr>
      <w:hyperlink r:id="rId59">
        <w:r w:rsidDel="00000000" w:rsidR="00000000" w:rsidRPr="00000000">
          <w:rPr>
            <w:color w:val="1155cc"/>
            <w:u w:val="single"/>
            <w:rtl w:val="0"/>
          </w:rPr>
          <w:t xml:space="preserve">https://www.moomoo.com/stock/002736-SZ</w:t>
        </w:r>
      </w:hyperlink>
      <w:r w:rsidDel="00000000" w:rsidR="00000000" w:rsidRPr="00000000">
        <w:rPr>
          <w:rtl w:val="0"/>
        </w:rPr>
      </w:r>
    </w:p>
    <w:p w:rsidR="00000000" w:rsidDel="00000000" w:rsidP="00000000" w:rsidRDefault="00000000" w:rsidRPr="00000000" w14:paraId="0000008F">
      <w:pPr>
        <w:numPr>
          <w:ilvl w:val="0"/>
          <w:numId w:val="10"/>
        </w:numPr>
        <w:spacing w:after="0" w:afterAutospacing="0" w:before="0" w:beforeAutospacing="0" w:lineRule="auto"/>
        <w:ind w:left="720" w:hanging="360"/>
      </w:pPr>
      <w:hyperlink r:id="rId60">
        <w:r w:rsidDel="00000000" w:rsidR="00000000" w:rsidRPr="00000000">
          <w:rPr>
            <w:color w:val="1155cc"/>
            <w:u w:val="single"/>
            <w:rtl w:val="0"/>
          </w:rPr>
          <w:t xml:space="preserve">https://www.perplexity.ai/finance/002736.SZ/history</w:t>
        </w:r>
      </w:hyperlink>
      <w:r w:rsidDel="00000000" w:rsidR="00000000" w:rsidRPr="00000000">
        <w:rPr>
          <w:rtl w:val="0"/>
        </w:rPr>
      </w:r>
    </w:p>
    <w:p w:rsidR="00000000" w:rsidDel="00000000" w:rsidP="00000000" w:rsidRDefault="00000000" w:rsidRPr="00000000" w14:paraId="00000090">
      <w:pPr>
        <w:numPr>
          <w:ilvl w:val="0"/>
          <w:numId w:val="10"/>
        </w:numPr>
        <w:spacing w:after="240" w:before="0" w:beforeAutospacing="0" w:lineRule="auto"/>
        <w:ind w:left="720" w:hanging="360"/>
      </w:pPr>
      <w:hyperlink r:id="rId61">
        <w:r w:rsidDel="00000000" w:rsidR="00000000" w:rsidRPr="00000000">
          <w:rPr>
            <w:color w:val="1155cc"/>
            <w:u w:val="single"/>
            <w:rtl w:val="0"/>
          </w:rPr>
          <w:t xml:space="preserve">https://www.wsj.com/market-data/quotes/CN/XSHE/002736/research-ratings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ainvest.com/news/guosen-securities-q2-2025-earnings-profitability-volatility-2508/" TargetMode="External"/><Relationship Id="rId42" Type="http://schemas.openxmlformats.org/officeDocument/2006/relationships/hyperlink" Target="https://stockanalysis.com/quote/she/002736/" TargetMode="External"/><Relationship Id="rId41" Type="http://schemas.openxmlformats.org/officeDocument/2006/relationships/hyperlink" Target="https://www.marketscreener.com/quote/stock/GUOSEN-SECURITIES-CO-LTD-22283340/consensus/" TargetMode="External"/><Relationship Id="rId44" Type="http://schemas.openxmlformats.org/officeDocument/2006/relationships/hyperlink" Target="https://finance.yahoo.com/quote/002736.SZ/profile/" TargetMode="External"/><Relationship Id="rId43" Type="http://schemas.openxmlformats.org/officeDocument/2006/relationships/hyperlink" Target="https://companiesmarketcap.com/guosen-securities/marketcap/" TargetMode="External"/><Relationship Id="rId46" Type="http://schemas.openxmlformats.org/officeDocument/2006/relationships/hyperlink" Target="https://www.wikifx.com/en/stock/9301673692/002736_SZ.html" TargetMode="External"/><Relationship Id="rId45" Type="http://schemas.openxmlformats.org/officeDocument/2006/relationships/hyperlink" Target="https://www.reuters.com/markets/companies/002736.s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kifx.com/en/stock/9301673692/002736_SZ.html" TargetMode="External"/><Relationship Id="rId48" Type="http://schemas.openxmlformats.org/officeDocument/2006/relationships/hyperlink" Target="https://www.moomoo.com/stock/002736-SZ/news" TargetMode="External"/><Relationship Id="rId47" Type="http://schemas.openxmlformats.org/officeDocument/2006/relationships/hyperlink" Target="https://www.ainvest.com/news/guosen-securities-h1-net-profit-surges-71-0-drives-outperformance-2508/" TargetMode="External"/><Relationship Id="rId49" Type="http://schemas.openxmlformats.org/officeDocument/2006/relationships/hyperlink" Target="https://www.investing.com/equities/guosen-securities-co-ltd-financial-summary" TargetMode="External"/><Relationship Id="rId5" Type="http://schemas.openxmlformats.org/officeDocument/2006/relationships/styles" Target="styles.xml"/><Relationship Id="rId6" Type="http://schemas.openxmlformats.org/officeDocument/2006/relationships/hyperlink" Target="https://stockanalysis.com/quote/she/002736/" TargetMode="External"/><Relationship Id="rId7" Type="http://schemas.openxmlformats.org/officeDocument/2006/relationships/hyperlink" Target="https://companiesmarketcap.com/guosen-securities/marketcap/" TargetMode="External"/><Relationship Id="rId8" Type="http://schemas.openxmlformats.org/officeDocument/2006/relationships/hyperlink" Target="https://finance.yahoo.com/quote/002736.SZ/profile/" TargetMode="External"/><Relationship Id="rId31" Type="http://schemas.openxmlformats.org/officeDocument/2006/relationships/hyperlink" Target="https://www.marketscreener.com/quote/stock/GUOSEN-SECURITIES-CO-LTD-22283340/consensus/" TargetMode="External"/><Relationship Id="rId30" Type="http://schemas.openxmlformats.org/officeDocument/2006/relationships/hyperlink" Target="https://stockanalysis.com/quote/she/002736/" TargetMode="External"/><Relationship Id="rId33" Type="http://schemas.openxmlformats.org/officeDocument/2006/relationships/hyperlink" Target="https://www.ainvest.com/news/guosen-securities-h1-net-profit-surges-71-0-drives-outperformance-2508/" TargetMode="External"/><Relationship Id="rId32" Type="http://schemas.openxmlformats.org/officeDocument/2006/relationships/hyperlink" Target="https://www.ainvest.com/news/guosen-securities-h1-net-profit-surges-71-0-drives-outperformance-2508/" TargetMode="External"/><Relationship Id="rId35" Type="http://schemas.openxmlformats.org/officeDocument/2006/relationships/hyperlink" Target="https://www.ainvest.com/news/guosen-securities-h1-net-profit-surges-71-0-drives-outperformance-2508/" TargetMode="External"/><Relationship Id="rId34" Type="http://schemas.openxmlformats.org/officeDocument/2006/relationships/hyperlink" Target="https://www.ainvest.com/news/guosen-securities-h1-net-profit-surges-71-0-drives-outperformance-2508/" TargetMode="External"/><Relationship Id="rId37" Type="http://schemas.openxmlformats.org/officeDocument/2006/relationships/hyperlink" Target="https://www.fitchratings.com/research/non-bank-financial-institutions/fitch-affirms-guosen-securities-at-bbb-outlook-stable-30-06-2025" TargetMode="External"/><Relationship Id="rId36" Type="http://schemas.openxmlformats.org/officeDocument/2006/relationships/hyperlink" Target="https://www.marketscreener.com/quote/stock/GUOSEN-SECURITIES-CO-LTD-22283340/consensus/" TargetMode="External"/><Relationship Id="rId39" Type="http://schemas.openxmlformats.org/officeDocument/2006/relationships/hyperlink" Target="https://www.investing.com/equities/guosen-securities-co-ltd-financial-summary" TargetMode="External"/><Relationship Id="rId38" Type="http://schemas.openxmlformats.org/officeDocument/2006/relationships/hyperlink" Target="https://www.fitchratings.com/research/non-bank-financial-institutions/fitch-affirms-guosen-securities-at-bbb-outlook-stable-30-06-2025" TargetMode="External"/><Relationship Id="rId61" Type="http://schemas.openxmlformats.org/officeDocument/2006/relationships/hyperlink" Target="https://www.wsj.com/market-data/quotes/CN/XSHE/002736/research-ratings" TargetMode="External"/><Relationship Id="rId20" Type="http://schemas.openxmlformats.org/officeDocument/2006/relationships/hyperlink" Target="https://www.ainvest.com/news/guosen-securities-h1-net-profit-surges-71-0-drives-outperformance-2508/" TargetMode="External"/><Relationship Id="rId22" Type="http://schemas.openxmlformats.org/officeDocument/2006/relationships/hyperlink" Target="https://finbox.com/SZSE:002736/explorer/ocf_share" TargetMode="External"/><Relationship Id="rId21" Type="http://schemas.openxmlformats.org/officeDocument/2006/relationships/hyperlink" Target="https://www.ainvest.com/news/guosen-securities-h1-net-profit-surges-71-0-drives-outperformance-2508/" TargetMode="External"/><Relationship Id="rId24" Type="http://schemas.openxmlformats.org/officeDocument/2006/relationships/hyperlink" Target="https://stockanalysis.com/quote/she/002736/" TargetMode="External"/><Relationship Id="rId23" Type="http://schemas.openxmlformats.org/officeDocument/2006/relationships/hyperlink" Target="https://www.fitchratings.com/research/non-bank-financial-institutions/fitch-affirms-guosen-securities-at-bbb-outlook-stable-30-06-2025" TargetMode="External"/><Relationship Id="rId60" Type="http://schemas.openxmlformats.org/officeDocument/2006/relationships/hyperlink" Target="https://www.perplexity.ai/finance/002736.SZ/history" TargetMode="External"/><Relationship Id="rId26" Type="http://schemas.openxmlformats.org/officeDocument/2006/relationships/hyperlink" Target="https://stockanalysis.com/quote/she/002736/" TargetMode="External"/><Relationship Id="rId25" Type="http://schemas.openxmlformats.org/officeDocument/2006/relationships/hyperlink" Target="https://www.moomoo.com/stock/002736-SZ/news" TargetMode="External"/><Relationship Id="rId28" Type="http://schemas.openxmlformats.org/officeDocument/2006/relationships/hyperlink" Target="https://stockanalysis.com/quote/she/002736/" TargetMode="External"/><Relationship Id="rId27" Type="http://schemas.openxmlformats.org/officeDocument/2006/relationships/hyperlink" Target="https://stockanalysis.com/quote/she/002736/" TargetMode="External"/><Relationship Id="rId29" Type="http://schemas.openxmlformats.org/officeDocument/2006/relationships/hyperlink" Target="https://stockanalysis.com/quote/she/002736/" TargetMode="External"/><Relationship Id="rId51" Type="http://schemas.openxmlformats.org/officeDocument/2006/relationships/hyperlink" Target="https://www.fitchratings.com/research/non-bank-financial-institutions/fitch-affirms-guosen-securities-at-bbb-outlook-stable-30-06-2025" TargetMode="External"/><Relationship Id="rId50" Type="http://schemas.openxmlformats.org/officeDocument/2006/relationships/hyperlink" Target="https://finbox.com/SZSE:002736/explorer/ocf_share" TargetMode="External"/><Relationship Id="rId53" Type="http://schemas.openxmlformats.org/officeDocument/2006/relationships/hyperlink" Target="https://finance.yahoo.com/quote/002736.SZ/" TargetMode="External"/><Relationship Id="rId52" Type="http://schemas.openxmlformats.org/officeDocument/2006/relationships/hyperlink" Target="https://www.marketscreener.com/quote/stock/GUOSEN-SECURITIES-CO-LTD-22283340/consensus/" TargetMode="External"/><Relationship Id="rId11" Type="http://schemas.openxmlformats.org/officeDocument/2006/relationships/hyperlink" Target="https://www.ainvest.com/news/guosen-securities-h1-net-profit-surges-71-0-drives-outperformance-2508/" TargetMode="External"/><Relationship Id="rId55" Type="http://schemas.openxmlformats.org/officeDocument/2006/relationships/hyperlink" Target="https://www.ainvest.com/news/guosen-securities-q2-2025-earnings-profitability-volatility-2508/" TargetMode="External"/><Relationship Id="rId10" Type="http://schemas.openxmlformats.org/officeDocument/2006/relationships/hyperlink" Target="https://www.moomoo.com/stock/002736-SZ/news" TargetMode="External"/><Relationship Id="rId54" Type="http://schemas.openxmlformats.org/officeDocument/2006/relationships/hyperlink" Target="https://www.investing.com/equities/guosen-securities-co-ltd" TargetMode="External"/><Relationship Id="rId13" Type="http://schemas.openxmlformats.org/officeDocument/2006/relationships/hyperlink" Target="https://www.ainvest.com/news/guosen-securities-h1-net-profit-surges-71-0-drives-outperformance-2508/" TargetMode="External"/><Relationship Id="rId57" Type="http://schemas.openxmlformats.org/officeDocument/2006/relationships/hyperlink" Target="https://www.barrons.com/market-data/stocks/002736/financials?countrycode=cn" TargetMode="External"/><Relationship Id="rId12" Type="http://schemas.openxmlformats.org/officeDocument/2006/relationships/hyperlink" Target="https://stockanalysis.com/quote/she/002736/" TargetMode="External"/><Relationship Id="rId56" Type="http://schemas.openxmlformats.org/officeDocument/2006/relationships/hyperlink" Target="https://www.perplexity.ai/finance/002736.SZ" TargetMode="External"/><Relationship Id="rId15" Type="http://schemas.openxmlformats.org/officeDocument/2006/relationships/hyperlink" Target="https://stockanalysis.com/quote/she/002736/" TargetMode="External"/><Relationship Id="rId59" Type="http://schemas.openxmlformats.org/officeDocument/2006/relationships/hyperlink" Target="https://www.moomoo.com/stock/002736-SZ" TargetMode="External"/><Relationship Id="rId14" Type="http://schemas.openxmlformats.org/officeDocument/2006/relationships/hyperlink" Target="https://finbox.com/SZSE:002736/explorer/ocf_share" TargetMode="External"/><Relationship Id="rId58" Type="http://schemas.openxmlformats.org/officeDocument/2006/relationships/hyperlink" Target="https://www.moomoo.com/news/post/58011090/brokerage-focus-guosen-securities-maintains-an-outperform-rating-on-yadea" TargetMode="External"/><Relationship Id="rId17" Type="http://schemas.openxmlformats.org/officeDocument/2006/relationships/hyperlink" Target="https://www.moomoo.com/stock/002736-SZ/news" TargetMode="External"/><Relationship Id="rId16" Type="http://schemas.openxmlformats.org/officeDocument/2006/relationships/hyperlink" Target="https://stockanalysis.com/quote/she/002736/" TargetMode="External"/><Relationship Id="rId19" Type="http://schemas.openxmlformats.org/officeDocument/2006/relationships/hyperlink" Target="https://www.ainvest.com/news/guosen-securities-h1-net-profit-surges-71-0-drives-outperformance-2508/" TargetMode="External"/><Relationship Id="rId18" Type="http://schemas.openxmlformats.org/officeDocument/2006/relationships/hyperlink" Target="https://stockanalysis.com/quote/she/002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