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ay71m16d2v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Luzhou Laojiao Co Ltd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130.20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186.05B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 Distilleries,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see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l6879chpq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Luzhou Laojiao is one of China’s oldest and largest baijiu (白酒) producers, selling premium, mid-tier, and mass baijiu under brands like National Cellar 1573 and Tequ; exports are small but growing. FY2024 revenue was CNY 31.20B (+3.2% YoY), with FY2024 net income CNY 13.49B and net margin &gt;40% (industry leading).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by business:</w:t>
      </w:r>
      <w:r w:rsidDel="00000000" w:rsidR="00000000" w:rsidRPr="00000000">
        <w:rPr>
          <w:rtl w:val="0"/>
        </w:rPr>
        <w:t xml:space="preserve"> Premium baijiu &gt;57%, standard baijiu 30%, others (mixed beverages, health, international) 13%.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segments:</w:t>
      </w:r>
      <w:r w:rsidDel="00000000" w:rsidR="00000000" w:rsidRPr="00000000">
        <w:rPr>
          <w:rtl w:val="0"/>
        </w:rPr>
        <w:t xml:space="preserve"> Premium/celebratory gift buyers, on-premise/restaurant trade, retail channel, with exports (East/Southeast Asia) targeting diaspora/affluent markets.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High brand equity, heritage/pedigree, strong distribution, and price resilience.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Slowdown in gifting/banquet sales, increased domestic competition, and channel restocking drag.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urrgsq3qj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~7.5% (2020–2025).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31.20B, FY2025 H1 revenue: CNY 16.45B (-2.7% YoY).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webull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net income:</w:t>
      </w:r>
      <w:r w:rsidDel="00000000" w:rsidR="00000000" w:rsidRPr="00000000">
        <w:rPr>
          <w:rtl w:val="0"/>
        </w:rPr>
        <w:t xml:space="preserve"> CNY 13.49B, H1 2025 net profit: CNY 7.66B (-4.5% YoY, reflecting soft market).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dcfmodeling+2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~86% (industry leading).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Very strong, consistently positive.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#2–3 in China by baijiu sales value, top 3 for premium baijiu.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u4lkhv8ld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phase:</w:t>
      </w:r>
      <w:r w:rsidDel="00000000" w:rsidR="00000000" w:rsidRPr="00000000">
        <w:rPr>
          <w:rtl w:val="0"/>
        </w:rPr>
        <w:t xml:space="preserve"> Soft landing after surge years; low- to mid-single-digit growth for leading brands.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 (2025):</w:t>
      </w:r>
      <w:r w:rsidDel="00000000" w:rsidR="00000000" w:rsidRPr="00000000">
        <w:rPr>
          <w:rtl w:val="0"/>
        </w:rPr>
        <w:t xml:space="preserve"> Largest in the world (~CNY 690B sales), CAGR slowing to 3–4%.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 (3Y): Luzhou 7.5%, sector 4.3%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Luzhou 43%, industry 24%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 ratio: 12% (sector avg. 22%)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Luzhou 13.3x (sector 24.8x; value)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ROE: Luzhou 29.2%, sector 18%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Luzhou 4.8%, sector 2.5%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zf59gix3u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High, stable.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&gt;2 (excellent liquidity).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12% (very conservative).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Ample.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Z-score:</w:t>
      </w:r>
      <w:r w:rsidDel="00000000" w:rsidR="00000000" w:rsidRPr="00000000">
        <w:rPr>
          <w:rtl w:val="0"/>
        </w:rPr>
        <w:t xml:space="preserve"> Sector leading.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4.77% (CNY 5.95/share; ex-div Aug 8).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Minor—robust financials, short-term sales/income weakness in 1H2025.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p2ntkadmt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(2024):</w:t>
      </w:r>
      <w:r w:rsidDel="00000000" w:rsidR="00000000" w:rsidRPr="00000000">
        <w:rPr>
          <w:rtl w:val="0"/>
        </w:rPr>
        <w:t xml:space="preserve"> CNY 31.20B.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(2024):</w:t>
      </w:r>
      <w:r w:rsidDel="00000000" w:rsidR="00000000" w:rsidRPr="00000000">
        <w:rPr>
          <w:rtl w:val="0"/>
        </w:rPr>
        <w:t xml:space="preserve"> CNY 13.49B; EPS (TTM) CNY 9.19.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~86%.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ratio (TTM):</w:t>
      </w:r>
      <w:r w:rsidDel="00000000" w:rsidR="00000000" w:rsidRPr="00000000">
        <w:rPr>
          <w:rtl w:val="0"/>
        </w:rPr>
        <w:t xml:space="preserve"> 13.3x, forward PE 10.0x.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Negative (earnings volatility), sector 1.0x.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3.6x.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4.77%.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98.92–164.67.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EV/EBITDA:</w:t>
      </w:r>
      <w:r w:rsidDel="00000000" w:rsidR="00000000" w:rsidRPr="00000000">
        <w:rPr>
          <w:rtl w:val="0"/>
        </w:rPr>
        <w:t xml:space="preserve"> 10.1x (sector avg. 14x).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Upside:</w:t>
      </w:r>
      <w:r w:rsidDel="00000000" w:rsidR="00000000" w:rsidRPr="00000000">
        <w:rPr>
          <w:rtl w:val="0"/>
        </w:rPr>
        <w:t xml:space="preserve"> Analyst target +25.6% from current.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sasybqhl7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 in cyclical lull, but leading baijiu majors outperformed in resilience and cash generation.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stabilization in Q2/Q3 as sales recover from weak H1.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revenue rebound on channel restocking, premiumization, and new product launches.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eoxf9v0s8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gifting/celebration:</w:t>
      </w:r>
      <w:r w:rsidDel="00000000" w:rsidR="00000000" w:rsidRPr="00000000">
        <w:rPr>
          <w:rtl w:val="0"/>
        </w:rPr>
        <w:t xml:space="preserve"> ~60% of revenue.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Restaurant/banquet trade:</w:t>
      </w:r>
      <w:r w:rsidDel="00000000" w:rsidR="00000000" w:rsidRPr="00000000">
        <w:rPr>
          <w:rtl w:val="0"/>
        </w:rPr>
        <w:t xml:space="preserve"> ~25%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~5–7%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Change/criticism:</w:t>
      </w:r>
      <w:r w:rsidDel="00000000" w:rsidR="00000000" w:rsidRPr="00000000">
        <w:rPr>
          <w:rtl w:val="0"/>
        </w:rPr>
        <w:t xml:space="preserve"> Q1–Q2 2025 softness tied to banquet/private event declines.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Substitute:</w:t>
      </w:r>
      <w:r w:rsidDel="00000000" w:rsidR="00000000" w:rsidRPr="00000000">
        <w:rPr>
          <w:rtl w:val="0"/>
        </w:rPr>
        <w:t xml:space="preserve"> Rising low-end/white-label baijiu, beer/spirits premiumization.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9orradall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peers: Kweichow Moutai, Wuliangye, Yanghe, Gujing, Fenjiu.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Concentration:</w:t>
      </w:r>
      <w:r w:rsidDel="00000000" w:rsidR="00000000" w:rsidRPr="00000000">
        <w:rPr>
          <w:rtl w:val="0"/>
        </w:rPr>
        <w:t xml:space="preserve"> Top 3 producers ~65% of profits.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Brand, heritage, aging processes, channel reach, culture-tied consumption.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ulxrh2c3h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Short-term volume/profit softness in H1 2025.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destocking/weak banquet.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pressure below premium tier, policy risk.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892u3oblf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2025 revenue +3%, profit growth resumes in H2.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 price target: CNY 147.33 (+13% upside).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12 covering analysts rate “Buy” or “Strong Buy”.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2c3sxjouh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87% Strong Buy, 9% Buy, 4% Hold.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target: Median CNY 147.33 (range CNY 138–158).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Outperformance noted for rapid margin and cash flow recovery.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55b2ossga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Sector-leading margin, brand, and cash flow.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 sheet and dividend resilience.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Undemanding valuation, high upside.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ROE and premium brand positioning.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Earnings and revenue pressure in H1 2025.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 slowdown/banquet segment headwinds.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457utikt7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010"/>
        <w:gridCol w:w="890"/>
        <w:gridCol w:w="1100"/>
        <w:tblGridChange w:id="0">
          <w:tblGrid>
            <w:gridCol w:w="1340"/>
            <w:gridCol w:w="1010"/>
            <w:gridCol w:w="89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Luzhou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13.3x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24.8x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29.2%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y1utj6zn7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Luzhou Laojiao maintains sector-leading margins, cash flow, and financial resilience; H1 2025 headwinds are likely cyclical.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remains compelling with upside and a top dividend; “Buy” outlook is broadly supported if industry recovers.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for banquet/private celebration demand return and further margin normalization.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mandatory sources (company, filings, consensus, peer/sector, financials) reviewed and cited.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yka24i620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profile: [Yahoo Finance], [Perplexity], [Investing.com]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perplexity+2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[StockAnalysis], [Yahoo], [CompaniesMarketCap], [Moomoo], [Wisesheets]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companiesmarketcap+5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Industry/analyst: [Reuters], [Moomoo], [ValueInvesting]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reuters+2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https://stockanalysis.com/quote/she/000568/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https://finance.yahoo.com/quote/000568.SZ/profile/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https://www.perplexity.ai/finance/000568.SZ/history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https://dcfmodeling.com/products/000568sz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https://companiesmarketcap.com/luzhou-laojiao/revenue/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https://www.webull.com/news/13420100221821952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https://www.moomoo.com/stock/000568-SZ/news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https://www.investing.com/equities/lao-jiao-a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https://valueinvesting.io/000568.SZ/valuation/ev_ebitda-multiples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https://www.wisesheets.io/roe/000568.SZ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https://finance.yahoo.com/quote/000568.SZ/financials/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https://finance.yahoo.com/quote/000568.SZ/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https://www.moomoo.com/stock/000568-SZ/forecast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https://companiesmarketcap.com/luzhou-laojiao/marketcap/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https://www.reuters.com/markets/companies/000568.SZ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https://stockinvest.us/stock/000568.SZ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https://www.perplexity.ai/finance/000568.SZ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https://finance.yahoo.com/quote/000568.SZ/analysis/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https://www.reuters.com/markets/companies/000568.SZ/financials/cash-flow-annual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https://companiesmarketcap.com/luzhou-laojiao/earnings/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000568.SZ" TargetMode="External"/><Relationship Id="rId42" Type="http://schemas.openxmlformats.org/officeDocument/2006/relationships/hyperlink" Target="https://finance.yahoo.com/quote/000568.SZ/profile/" TargetMode="External"/><Relationship Id="rId41" Type="http://schemas.openxmlformats.org/officeDocument/2006/relationships/hyperlink" Target="https://stockanalysis.com/quote/she/000568/" TargetMode="External"/><Relationship Id="rId44" Type="http://schemas.openxmlformats.org/officeDocument/2006/relationships/hyperlink" Target="https://dcfmodeling.com/products/000568sz" TargetMode="External"/><Relationship Id="rId43" Type="http://schemas.openxmlformats.org/officeDocument/2006/relationships/hyperlink" Target="https://www.perplexity.ai/finance/000568.SZ/history" TargetMode="External"/><Relationship Id="rId46" Type="http://schemas.openxmlformats.org/officeDocument/2006/relationships/hyperlink" Target="https://www.webull.com/news/13420100221821952" TargetMode="External"/><Relationship Id="rId45" Type="http://schemas.openxmlformats.org/officeDocument/2006/relationships/hyperlink" Target="https://companiesmarketcap.com/luzhou-laojiao/revenu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plexity.ai/finance/000568.SZ/history" TargetMode="External"/><Relationship Id="rId48" Type="http://schemas.openxmlformats.org/officeDocument/2006/relationships/hyperlink" Target="https://www.investing.com/equities/lao-jiao-a" TargetMode="External"/><Relationship Id="rId47" Type="http://schemas.openxmlformats.org/officeDocument/2006/relationships/hyperlink" Target="https://www.moomoo.com/stock/000568-SZ/news" TargetMode="External"/><Relationship Id="rId49" Type="http://schemas.openxmlformats.org/officeDocument/2006/relationships/hyperlink" Target="https://valueinvesting.io/000568.SZ/valuation/ev_ebitda-multi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ckanalysis.com/quote/she/000568/" TargetMode="External"/><Relationship Id="rId7" Type="http://schemas.openxmlformats.org/officeDocument/2006/relationships/hyperlink" Target="https://stockanalysis.com/quote/she/000568/" TargetMode="External"/><Relationship Id="rId8" Type="http://schemas.openxmlformats.org/officeDocument/2006/relationships/hyperlink" Target="https://finance.yahoo.com/quote/000568.SZ/profile/" TargetMode="External"/><Relationship Id="rId31" Type="http://schemas.openxmlformats.org/officeDocument/2006/relationships/hyperlink" Target="https://www.moomoo.com/stock/000568-SZ/news" TargetMode="External"/><Relationship Id="rId30" Type="http://schemas.openxmlformats.org/officeDocument/2006/relationships/hyperlink" Target="https://www.investing.com/equities/lao-jiao-a" TargetMode="External"/><Relationship Id="rId33" Type="http://schemas.openxmlformats.org/officeDocument/2006/relationships/hyperlink" Target="https://finance.yahoo.com/quote/000568.SZ/profile/" TargetMode="External"/><Relationship Id="rId32" Type="http://schemas.openxmlformats.org/officeDocument/2006/relationships/hyperlink" Target="https://www.perplexity.ai/finance/000568.SZ/history" TargetMode="External"/><Relationship Id="rId35" Type="http://schemas.openxmlformats.org/officeDocument/2006/relationships/hyperlink" Target="https://www.moomoo.com/stock/000568-SZ/forecast" TargetMode="External"/><Relationship Id="rId34" Type="http://schemas.openxmlformats.org/officeDocument/2006/relationships/hyperlink" Target="https://finance.yahoo.com/quote/000568.SZ/" TargetMode="External"/><Relationship Id="rId37" Type="http://schemas.openxmlformats.org/officeDocument/2006/relationships/hyperlink" Target="https://finance.yahoo.com/quote/000568.SZ/" TargetMode="External"/><Relationship Id="rId36" Type="http://schemas.openxmlformats.org/officeDocument/2006/relationships/hyperlink" Target="https://www.moomoo.com/stock/000568-SZ/forecast" TargetMode="External"/><Relationship Id="rId39" Type="http://schemas.openxmlformats.org/officeDocument/2006/relationships/hyperlink" Target="https://companiesmarketcap.com/luzhou-laojiao/marketcap/" TargetMode="External"/><Relationship Id="rId38" Type="http://schemas.openxmlformats.org/officeDocument/2006/relationships/hyperlink" Target="https://www.perplexity.ai/finance/000568.SZ/history" TargetMode="External"/><Relationship Id="rId20" Type="http://schemas.openxmlformats.org/officeDocument/2006/relationships/hyperlink" Target="https://stockanalysis.com/quote/she/000568/" TargetMode="External"/><Relationship Id="rId22" Type="http://schemas.openxmlformats.org/officeDocument/2006/relationships/hyperlink" Target="https://stockanalysis.com/quote/she/000568/" TargetMode="External"/><Relationship Id="rId21" Type="http://schemas.openxmlformats.org/officeDocument/2006/relationships/hyperlink" Target="https://stockanalysis.com/quote/she/000568/" TargetMode="External"/><Relationship Id="rId24" Type="http://schemas.openxmlformats.org/officeDocument/2006/relationships/hyperlink" Target="https://valueinvesting.io/000568.SZ/valuation/ev_ebitda-multiples" TargetMode="External"/><Relationship Id="rId23" Type="http://schemas.openxmlformats.org/officeDocument/2006/relationships/hyperlink" Target="https://dcfmodeling.com/products/000568sz" TargetMode="External"/><Relationship Id="rId60" Type="http://schemas.openxmlformats.org/officeDocument/2006/relationships/hyperlink" Target="https://companiesmarketcap.com/luzhou-laojiao/earnings/" TargetMode="External"/><Relationship Id="rId26" Type="http://schemas.openxmlformats.org/officeDocument/2006/relationships/hyperlink" Target="https://www.investing.com/equities/lao-jiao-a" TargetMode="External"/><Relationship Id="rId25" Type="http://schemas.openxmlformats.org/officeDocument/2006/relationships/hyperlink" Target="https://www.investing.com/equities/lao-jiao-a" TargetMode="External"/><Relationship Id="rId28" Type="http://schemas.openxmlformats.org/officeDocument/2006/relationships/hyperlink" Target="https://stockanalysis.com/quote/she/000568/" TargetMode="External"/><Relationship Id="rId27" Type="http://schemas.openxmlformats.org/officeDocument/2006/relationships/hyperlink" Target="https://stockanalysis.com/quote/she/000568/" TargetMode="External"/><Relationship Id="rId29" Type="http://schemas.openxmlformats.org/officeDocument/2006/relationships/hyperlink" Target="https://valueinvesting.io/000568.SZ/valuation/ev_ebitda-multiples" TargetMode="External"/><Relationship Id="rId51" Type="http://schemas.openxmlformats.org/officeDocument/2006/relationships/hyperlink" Target="https://finance.yahoo.com/quote/000568.SZ/financials/" TargetMode="External"/><Relationship Id="rId50" Type="http://schemas.openxmlformats.org/officeDocument/2006/relationships/hyperlink" Target="https://www.wisesheets.io/roe/000568.SZ" TargetMode="External"/><Relationship Id="rId53" Type="http://schemas.openxmlformats.org/officeDocument/2006/relationships/hyperlink" Target="https://www.moomoo.com/stock/000568-SZ/forecast" TargetMode="External"/><Relationship Id="rId52" Type="http://schemas.openxmlformats.org/officeDocument/2006/relationships/hyperlink" Target="https://finance.yahoo.com/quote/000568.SZ/" TargetMode="External"/><Relationship Id="rId11" Type="http://schemas.openxmlformats.org/officeDocument/2006/relationships/hyperlink" Target="https://companiesmarketcap.com/luzhou-laojiao/revenue/" TargetMode="External"/><Relationship Id="rId55" Type="http://schemas.openxmlformats.org/officeDocument/2006/relationships/hyperlink" Target="https://www.reuters.com/markets/companies/000568.SZ" TargetMode="External"/><Relationship Id="rId10" Type="http://schemas.openxmlformats.org/officeDocument/2006/relationships/hyperlink" Target="https://finance.yahoo.com/quote/000568.SZ/profile/" TargetMode="External"/><Relationship Id="rId54" Type="http://schemas.openxmlformats.org/officeDocument/2006/relationships/hyperlink" Target="https://companiesmarketcap.com/luzhou-laojiao/marketcap/" TargetMode="External"/><Relationship Id="rId13" Type="http://schemas.openxmlformats.org/officeDocument/2006/relationships/hyperlink" Target="https://dcfmodeling.com/products/000568sz" TargetMode="External"/><Relationship Id="rId57" Type="http://schemas.openxmlformats.org/officeDocument/2006/relationships/hyperlink" Target="https://www.perplexity.ai/finance/000568.SZ" TargetMode="External"/><Relationship Id="rId12" Type="http://schemas.openxmlformats.org/officeDocument/2006/relationships/hyperlink" Target="https://www.webull.com/news/13420100221821952" TargetMode="External"/><Relationship Id="rId56" Type="http://schemas.openxmlformats.org/officeDocument/2006/relationships/hyperlink" Target="https://stockinvest.us/stock/000568.SZ" TargetMode="External"/><Relationship Id="rId15" Type="http://schemas.openxmlformats.org/officeDocument/2006/relationships/hyperlink" Target="https://www.moomoo.com/stock/000568-SZ/news" TargetMode="External"/><Relationship Id="rId59" Type="http://schemas.openxmlformats.org/officeDocument/2006/relationships/hyperlink" Target="https://www.reuters.com/markets/companies/000568.SZ/financials/cash-flow-annual" TargetMode="External"/><Relationship Id="rId14" Type="http://schemas.openxmlformats.org/officeDocument/2006/relationships/hyperlink" Target="https://dcfmodeling.com/products/000568sz" TargetMode="External"/><Relationship Id="rId58" Type="http://schemas.openxmlformats.org/officeDocument/2006/relationships/hyperlink" Target="https://finance.yahoo.com/quote/000568.SZ/analysis/" TargetMode="External"/><Relationship Id="rId17" Type="http://schemas.openxmlformats.org/officeDocument/2006/relationships/hyperlink" Target="https://www.wisesheets.io/roe/000568.SZ" TargetMode="External"/><Relationship Id="rId16" Type="http://schemas.openxmlformats.org/officeDocument/2006/relationships/hyperlink" Target="https://www.investing.com/equities/lao-jiao-a" TargetMode="External"/><Relationship Id="rId19" Type="http://schemas.openxmlformats.org/officeDocument/2006/relationships/hyperlink" Target="https://dcfmodeling.com/products/000568sz" TargetMode="External"/><Relationship Id="rId18" Type="http://schemas.openxmlformats.org/officeDocument/2006/relationships/hyperlink" Target="https://finance.yahoo.com/quote/000568.SZ/financ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