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uea2tmoacp" w:id="0"/>
      <w:bookmarkEnd w:id="0"/>
      <w:r w:rsidDel="00000000" w:rsidR="00000000" w:rsidRPr="00000000">
        <w:rPr>
          <w:b w:val="1"/>
          <w:sz w:val="46"/>
          <w:szCs w:val="46"/>
          <w:rtl w:val="0"/>
        </w:rPr>
        <w:t xml:space="preserve">Investment Summary: SDIC Capital Co Ltd</w:t>
      </w:r>
    </w:p>
    <w:p w:rsidR="00000000" w:rsidDel="00000000" w:rsidP="00000000" w:rsidRDefault="00000000" w:rsidRPr="00000000" w14:paraId="00000002">
      <w:pPr>
        <w:numPr>
          <w:ilvl w:val="0"/>
          <w:numId w:val="14"/>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14"/>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8.50</w:t>
      </w:r>
      <w:hyperlink r:id="rId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04">
      <w:pPr>
        <w:numPr>
          <w:ilvl w:val="0"/>
          <w:numId w:val="14"/>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54.4B</w:t>
      </w:r>
      <w:hyperlink r:id="rId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05">
      <w:pPr>
        <w:numPr>
          <w:ilvl w:val="0"/>
          <w:numId w:val="14"/>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Financial Services Holding, Securities/Trust/Fund/Futures/Insurance/Brokerage</w:t>
        <w:br w:type="textWrapping"/>
      </w:r>
    </w:p>
    <w:p w:rsidR="00000000" w:rsidDel="00000000" w:rsidP="00000000" w:rsidRDefault="00000000" w:rsidRPr="00000000" w14:paraId="00000006">
      <w:pPr>
        <w:numPr>
          <w:ilvl w:val="0"/>
          <w:numId w:val="14"/>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Buy (Analyst and institutional consensus; see details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kiubvnqws39e"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SDIC Capital is the listed integrated financial holding company of State Development &amp; Investment Corp (SDIC), China’s central SOE capital investment platform. SDIC Capital provides securities, trust, fund, futures, insurance broking, and financial leasing via its core subsidiaries—mainly SDIC Securities, Huaxin Trust, SDIC Fund, and SDIC Essence Futures. As a key financial arm of one of China’s largest government groups, SDIC Capital leverages leading positions in A-share brokerage, trust, and mutual fund markets, and pursues expansion in green finance, direct investment, and risk control technology.</w:t>
      </w:r>
      <w:hyperlink r:id="rId8">
        <w:r w:rsidDel="00000000" w:rsidR="00000000" w:rsidRPr="00000000">
          <w:rPr>
            <w:color w:val="1155cc"/>
            <w:u w:val="single"/>
            <w:rtl w:val="0"/>
          </w:rPr>
          <w:t xml:space="preserve">finance.yahoo+4</w:t>
        </w:r>
      </w:hyperlink>
      <w:r w:rsidDel="00000000" w:rsidR="00000000" w:rsidRPr="00000000">
        <w:rPr>
          <w:rtl w:val="0"/>
        </w:rPr>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Segments/revenues:</w:t>
      </w:r>
      <w:r w:rsidDel="00000000" w:rsidR="00000000" w:rsidRPr="00000000">
        <w:rPr>
          <w:rtl w:val="0"/>
        </w:rPr>
        <w:t xml:space="preserve"> Brokerage &amp; futures (~55%), trust/funds (~25%), insurance/other (~20%).</w:t>
      </w:r>
      <w:hyperlink r:id="rId9">
        <w:r w:rsidDel="00000000" w:rsidR="00000000" w:rsidRPr="00000000">
          <w:rPr>
            <w:color w:val="1155cc"/>
            <w:u w:val="single"/>
            <w:rtl w:val="0"/>
          </w:rPr>
          <w:t xml:space="preserve">reuters+1</w:t>
          <w:br w:type="textWrapping"/>
        </w:r>
      </w:hyperlink>
      <w:r w:rsidDel="00000000" w:rsidR="00000000" w:rsidRPr="00000000">
        <w:rPr>
          <w:rtl w:val="0"/>
        </w:rPr>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SOE backing (strategic importance), strong risk control, stable cost of funding, synergy with SDIC Group industrial ecosystem, reliable regulatory access.</w:t>
      </w:r>
      <w:hyperlink r:id="rId10">
        <w:r w:rsidDel="00000000" w:rsidR="00000000" w:rsidRPr="00000000">
          <w:rPr>
            <w:color w:val="1155cc"/>
            <w:u w:val="single"/>
            <w:rtl w:val="0"/>
          </w:rPr>
          <w:t xml:space="preserve">sdic</w:t>
          <w:br w:type="textWrapping"/>
        </w:r>
      </w:hyperlink>
      <w:r w:rsidDel="00000000" w:rsidR="00000000" w:rsidRPr="00000000">
        <w:rPr>
          <w:rtl w:val="0"/>
        </w:rPr>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Moderate profit growth, sector competitive pressures, sensitivity to market cycles and SOE policy targets.</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gl34ukn4s0p"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F">
      <w:pPr>
        <w:numPr>
          <w:ilvl w:val="0"/>
          <w:numId w:val="7"/>
        </w:numPr>
        <w:spacing w:after="0" w:afterAutospacing="0" w:before="240" w:lineRule="auto"/>
        <w:ind w:left="720" w:hanging="360"/>
      </w:pPr>
      <w:r w:rsidDel="00000000" w:rsidR="00000000" w:rsidRPr="00000000">
        <w:rPr>
          <w:b w:val="1"/>
          <w:rtl w:val="0"/>
        </w:rPr>
        <w:t xml:space="preserve">TTM revenue (Q2 2025):</w:t>
      </w:r>
      <w:r w:rsidDel="00000000" w:rsidR="00000000" w:rsidRPr="00000000">
        <w:rPr>
          <w:rtl w:val="0"/>
        </w:rPr>
        <w:t xml:space="preserve"> CNY 12.35B; net income CNY 3.14B.</w:t>
      </w:r>
      <w:hyperlink r:id="rId11">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2024 revenue:</w:t>
      </w:r>
      <w:r w:rsidDel="00000000" w:rsidR="00000000" w:rsidRPr="00000000">
        <w:rPr>
          <w:rtl w:val="0"/>
        </w:rPr>
        <w:t xml:space="preserve"> CNY 11.53B, net income CNY 2.69B; profit margin improving (+25.5% as of TTM 2025).</w:t>
      </w:r>
      <w:hyperlink r:id="rId12">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b w:val="1"/>
          <w:rtl w:val="0"/>
        </w:rPr>
        <w:t xml:space="preserve">H1 2025 EPS:</w:t>
      </w:r>
      <w:r w:rsidDel="00000000" w:rsidR="00000000" w:rsidRPr="00000000">
        <w:rPr>
          <w:rtl w:val="0"/>
        </w:rPr>
        <w:t xml:space="preserve"> CNY 0.23, forward EPS 0.48–0.51.</w:t>
      </w:r>
      <w:hyperlink r:id="rId13">
        <w:r w:rsidDel="00000000" w:rsidR="00000000" w:rsidRPr="00000000">
          <w:rPr>
            <w:color w:val="1155cc"/>
            <w:u w:val="single"/>
            <w:rtl w:val="0"/>
          </w:rPr>
          <w:t xml:space="preserve">stockinvest+1</w:t>
          <w:br w:type="textWrapping"/>
        </w:r>
      </w:hyperlink>
      <w:r w:rsidDel="00000000" w:rsidR="00000000" w:rsidRPr="00000000">
        <w:rPr>
          <w:rtl w:val="0"/>
        </w:rPr>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Dividend:</w:t>
      </w:r>
      <w:r w:rsidDel="00000000" w:rsidR="00000000" w:rsidRPr="00000000">
        <w:rPr>
          <w:rtl w:val="0"/>
        </w:rPr>
        <w:t xml:space="preserve"> CNY 0.13/share (1.52% yield, ex-date Jul 17, 2025).</w:t>
      </w:r>
      <w:hyperlink r:id="rId14">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Operating margin:</w:t>
      </w:r>
      <w:r w:rsidDel="00000000" w:rsidR="00000000" w:rsidRPr="00000000">
        <w:rPr>
          <w:rtl w:val="0"/>
        </w:rPr>
        <w:t xml:space="preserve"> 8.7% (2025 TTM, slightly improving).</w:t>
      </w:r>
      <w:hyperlink r:id="rId15">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Net margin:</w:t>
      </w:r>
      <w:r w:rsidDel="00000000" w:rsidR="00000000" w:rsidRPr="00000000">
        <w:rPr>
          <w:rtl w:val="0"/>
        </w:rPr>
        <w:t xml:space="preserve"> 25.5% (TTM, peer-leading).</w:t>
      </w:r>
      <w:hyperlink r:id="rId16">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Top 10 listed broker; SDIC Securities among China’s top SOE investment banks.</w:t>
      </w:r>
      <w:hyperlink r:id="rId17">
        <w:r w:rsidDel="00000000" w:rsidR="00000000" w:rsidRPr="00000000">
          <w:rPr>
            <w:color w:val="1155cc"/>
            <w:u w:val="single"/>
            <w:rtl w:val="0"/>
          </w:rPr>
          <w:t xml:space="preserve">reuters</w:t>
          <w:br w:type="textWrapping"/>
        </w:r>
      </w:hyperlink>
      <w:r w:rsidDel="00000000" w:rsidR="00000000" w:rsidRPr="00000000">
        <w:rPr>
          <w:rtl w:val="0"/>
        </w:rPr>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Revenue YoY growth:</w:t>
      </w:r>
      <w:r w:rsidDel="00000000" w:rsidR="00000000" w:rsidRPr="00000000">
        <w:rPr>
          <w:rtl w:val="0"/>
        </w:rPr>
        <w:t xml:space="preserve"> –5.1% TTM; net income +14.3% YoY (margin-driven rebound).</w:t>
      </w:r>
      <w:hyperlink r:id="rId18">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5hs2n26a6ymi" w:id="3"/>
      <w:bookmarkEnd w:id="3"/>
      <w:r w:rsidDel="00000000" w:rsidR="00000000" w:rsidRPr="00000000">
        <w:rPr>
          <w:b w:val="1"/>
          <w:sz w:val="34"/>
          <w:szCs w:val="34"/>
          <w:rtl w:val="0"/>
        </w:rPr>
        <w:t xml:space="preserve">Industry Context</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b w:val="1"/>
          <w:rtl w:val="0"/>
        </w:rPr>
        <w:t xml:space="preserve">Sector phase:</w:t>
      </w:r>
      <w:r w:rsidDel="00000000" w:rsidR="00000000" w:rsidRPr="00000000">
        <w:rPr>
          <w:rtl w:val="0"/>
        </w:rPr>
        <w:t xml:space="preserve"> Stabilization and selective expansion, following SOE reform and a multi-year regulatory campaign in China finance.</w:t>
        <w:br w:type="textWrapping"/>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b w:val="1"/>
          <w:rtl w:val="0"/>
        </w:rPr>
        <w:t xml:space="preserve">SDIC vs. peers:</w:t>
        <w:br w:type="textWrapping"/>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PE (TTM): 17.3x; sector avg. 26.9x.</w:t>
      </w:r>
      <w:hyperlink r:id="rId19">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PB: 0.8x (sector 1.1x), value discount.</w:t>
      </w:r>
      <w:hyperlink r:id="rId20">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Net margin: 25.5%, sector 19–24%</w:t>
        <w:br w:type="textWrapping"/>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rtl w:val="0"/>
        </w:rPr>
        <w:t xml:space="preserve">Dividend yield: 1.52%, sector 1.6%.</w:t>
      </w:r>
      <w:hyperlink r:id="rId21">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1F">
      <w:pPr>
        <w:numPr>
          <w:ilvl w:val="0"/>
          <w:numId w:val="12"/>
        </w:numPr>
        <w:spacing w:after="240" w:before="0" w:beforeAutospacing="0" w:lineRule="auto"/>
        <w:ind w:left="720" w:hanging="360"/>
      </w:pPr>
      <w:r w:rsidDel="00000000" w:rsidR="00000000" w:rsidRPr="00000000">
        <w:rPr>
          <w:b w:val="1"/>
          <w:rtl w:val="0"/>
        </w:rPr>
        <w:t xml:space="preserve">SOE parent synergy:</w:t>
      </w:r>
      <w:r w:rsidDel="00000000" w:rsidR="00000000" w:rsidRPr="00000000">
        <w:rPr>
          <w:rtl w:val="0"/>
        </w:rPr>
        <w:t xml:space="preserve"> Stable funding, cross-sell to real economy, green finance leadership.</w:t>
      </w:r>
      <w:hyperlink r:id="rId22">
        <w:r w:rsidDel="00000000" w:rsidR="00000000" w:rsidRPr="00000000">
          <w:rPr>
            <w:color w:val="1155cc"/>
            <w:u w:val="single"/>
            <w:rtl w:val="0"/>
          </w:rPr>
          <w:t xml:space="preserve">sdic</w:t>
          <w:br w:type="textWrapping"/>
        </w:r>
      </w:hyperlink>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4gjmcml4yoxe"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Leverage:</w:t>
      </w:r>
      <w:r w:rsidDel="00000000" w:rsidR="00000000" w:rsidRPr="00000000">
        <w:rPr>
          <w:rtl w:val="0"/>
        </w:rPr>
        <w:t xml:space="preserve"> Low for sector: D/E ratio falls below 0.5x; liabilities CNY 247.5B (as of 2025).</w:t>
      </w:r>
      <w:hyperlink r:id="rId23">
        <w:r w:rsidDel="00000000" w:rsidR="00000000" w:rsidRPr="00000000">
          <w:rPr>
            <w:color w:val="1155cc"/>
            <w:u w:val="single"/>
            <w:rtl w:val="0"/>
          </w:rPr>
          <w:t xml:space="preserve">eulerpool</w:t>
          <w:br w:type="textWrapping"/>
        </w:r>
      </w:hyperlink>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Cash/operating flows:</w:t>
      </w:r>
      <w:r w:rsidDel="00000000" w:rsidR="00000000" w:rsidRPr="00000000">
        <w:rPr>
          <w:rtl w:val="0"/>
        </w:rPr>
        <w:t xml:space="preserve"> Positive, with robust FCF and high dividend cover.</w:t>
      </w:r>
      <w:hyperlink r:id="rId24">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Risk factors:</w:t>
      </w:r>
      <w:r w:rsidDel="00000000" w:rsidR="00000000" w:rsidRPr="00000000">
        <w:rPr>
          <w:rtl w:val="0"/>
        </w:rPr>
        <w:t xml:space="preserve"> Sector cyclicality, SOE/parent policy, funding cost swings.</w:t>
        <w:br w:type="textWrapping"/>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b w:val="1"/>
          <w:rtl w:val="0"/>
        </w:rPr>
        <w:t xml:space="preserve">Dividend payout:</w:t>
      </w:r>
      <w:r w:rsidDel="00000000" w:rsidR="00000000" w:rsidRPr="00000000">
        <w:rPr>
          <w:rtl w:val="0"/>
        </w:rPr>
        <w:t xml:space="preserve"> Conservative (16–19% of net), but steady.</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xdnqy5a9c1cw"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Revenue (TTM):</w:t>
      </w:r>
      <w:r w:rsidDel="00000000" w:rsidR="00000000" w:rsidRPr="00000000">
        <w:rPr>
          <w:rtl w:val="0"/>
        </w:rPr>
        <w:t xml:space="preserve"> CNY 12.35B.</w:t>
      </w:r>
      <w:hyperlink r:id="rId25">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Net income (TTM):</w:t>
      </w:r>
      <w:r w:rsidDel="00000000" w:rsidR="00000000" w:rsidRPr="00000000">
        <w:rPr>
          <w:rtl w:val="0"/>
        </w:rPr>
        <w:t xml:space="preserve"> CNY 3.14B.</w:t>
      </w:r>
      <w:hyperlink r:id="rId2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EPS (TTM):</w:t>
      </w:r>
      <w:r w:rsidDel="00000000" w:rsidR="00000000" w:rsidRPr="00000000">
        <w:rPr>
          <w:rtl w:val="0"/>
        </w:rPr>
        <w:t xml:space="preserve"> 0.49.</w:t>
      </w:r>
      <w:hyperlink r:id="rId2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rtl w:val="0"/>
        </w:rPr>
        <w:t xml:space="preserve">PE:</w:t>
      </w:r>
      <w:r w:rsidDel="00000000" w:rsidR="00000000" w:rsidRPr="00000000">
        <w:rPr>
          <w:rtl w:val="0"/>
        </w:rPr>
        <w:t xml:space="preserve"> 17.3x.</w:t>
      </w:r>
      <w:hyperlink r:id="rId28">
        <w:r w:rsidDel="00000000" w:rsidR="00000000" w:rsidRPr="00000000">
          <w:rPr>
            <w:color w:val="1155cc"/>
            <w:u w:val="single"/>
            <w:rtl w:val="0"/>
          </w:rPr>
          <w:t xml:space="preserve">investing+1</w:t>
          <w:br w:type="textWrapping"/>
        </w:r>
      </w:hyperlink>
      <w:r w:rsidDel="00000000" w:rsidR="00000000" w:rsidRPr="00000000">
        <w:rPr>
          <w:rtl w:val="0"/>
        </w:rPr>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0.8x.</w:t>
      </w:r>
      <w:hyperlink r:id="rId29">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D">
      <w:pPr>
        <w:numPr>
          <w:ilvl w:val="0"/>
          <w:numId w:val="10"/>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1.52% (paid July 2025).</w:t>
      </w:r>
      <w:hyperlink r:id="rId30">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5.55–8.98.</w:t>
      </w:r>
      <w:hyperlink r:id="rId31">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F">
      <w:pPr>
        <w:numPr>
          <w:ilvl w:val="0"/>
          <w:numId w:val="10"/>
        </w:numPr>
        <w:spacing w:after="240" w:before="0" w:beforeAutospacing="0" w:lineRule="auto"/>
        <w:ind w:left="720" w:hanging="360"/>
      </w:pPr>
      <w:r w:rsidDel="00000000" w:rsidR="00000000" w:rsidRPr="00000000">
        <w:rPr>
          <w:b w:val="1"/>
          <w:rtl w:val="0"/>
        </w:rPr>
        <w:t xml:space="preserve">Analyst forecast:</w:t>
      </w:r>
      <w:r w:rsidDel="00000000" w:rsidR="00000000" w:rsidRPr="00000000">
        <w:rPr>
          <w:rtl w:val="0"/>
        </w:rPr>
        <w:t xml:space="preserve"> Median upside +16.4% to CNY 9.90/share; target range CNY 8.60–11.00.</w:t>
      </w:r>
      <w:hyperlink r:id="rId32">
        <w:r w:rsidDel="00000000" w:rsidR="00000000" w:rsidRPr="00000000">
          <w:rPr>
            <w:color w:val="1155cc"/>
            <w:u w:val="single"/>
            <w:rtl w:val="0"/>
          </w:rPr>
          <w:t xml:space="preserve">futunn+1</w:t>
          <w:br w:type="textWrapping"/>
        </w:r>
      </w:hyperlink>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6p3ohmbdqa4k"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Margin-led profit improvement despite revenue headwinds in 2H 2024–1H 2025.</w:t>
        <w:br w:type="textWrapping"/>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rtl w:val="0"/>
        </w:rPr>
        <w:t xml:space="preserve">Specialty growth in SOE trust and green finance underwriting.</w:t>
        <w:br w:type="textWrapping"/>
      </w:r>
    </w:p>
    <w:p w:rsidR="00000000" w:rsidDel="00000000" w:rsidP="00000000" w:rsidRDefault="00000000" w:rsidRPr="00000000" w14:paraId="00000034">
      <w:pPr>
        <w:numPr>
          <w:ilvl w:val="0"/>
          <w:numId w:val="6"/>
        </w:numPr>
        <w:spacing w:after="240" w:before="0" w:beforeAutospacing="0" w:lineRule="auto"/>
        <w:ind w:left="720" w:hanging="360"/>
      </w:pPr>
      <w:r w:rsidDel="00000000" w:rsidR="00000000" w:rsidRPr="00000000">
        <w:rPr>
          <w:rtl w:val="0"/>
        </w:rPr>
        <w:t xml:space="preserve">Ongoing group SOE rationalization; synergy with SDIC Power, SDIC Intelligence.</w:t>
        <w:br w:type="textWrapping"/>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34zw2l7dkfdd"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b w:val="1"/>
          <w:rtl w:val="0"/>
        </w:rPr>
        <w:t xml:space="preserve">Retail brokerage:</w:t>
      </w:r>
      <w:r w:rsidDel="00000000" w:rsidR="00000000" w:rsidRPr="00000000">
        <w:rPr>
          <w:rtl w:val="0"/>
        </w:rPr>
        <w:t xml:space="preserve"> ~45%</w:t>
        <w:br w:type="textWrapping"/>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Institutional/IBD:</w:t>
      </w:r>
      <w:r w:rsidDel="00000000" w:rsidR="00000000" w:rsidRPr="00000000">
        <w:rPr>
          <w:rtl w:val="0"/>
        </w:rPr>
        <w:t xml:space="preserve"> ~35%</w:t>
        <w:br w:type="textWrapping"/>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Trust/fund/insurance:</w:t>
      </w:r>
      <w:r w:rsidDel="00000000" w:rsidR="00000000" w:rsidRPr="00000000">
        <w:rPr>
          <w:rtl w:val="0"/>
        </w:rPr>
        <w:t xml:space="preserve"> ~20%</w:t>
        <w:br w:type="textWrapping"/>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b w:val="1"/>
          <w:rtl w:val="0"/>
        </w:rPr>
        <w:t xml:space="preserve">Trend:</w:t>
      </w:r>
      <w:r w:rsidDel="00000000" w:rsidR="00000000" w:rsidRPr="00000000">
        <w:rPr>
          <w:rtl w:val="0"/>
        </w:rPr>
        <w:t xml:space="preserve"> SOE-linked cross-sell, state entity mandates, green/ESG lending.</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jmi30zmh31b"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D">
      <w:pPr>
        <w:numPr>
          <w:ilvl w:val="0"/>
          <w:numId w:val="17"/>
        </w:numPr>
        <w:spacing w:after="0" w:afterAutospacing="0" w:before="240" w:lineRule="auto"/>
        <w:ind w:left="720" w:hanging="360"/>
      </w:pPr>
      <w:r w:rsidDel="00000000" w:rsidR="00000000" w:rsidRPr="00000000">
        <w:rPr>
          <w:rtl w:val="0"/>
        </w:rPr>
        <w:t xml:space="preserve">Key peers: CITIC Securities, Huatai, GF Securities, Shenwan Hongyuan, China Merchants Securities.</w:t>
        <w:br w:type="textWrapping"/>
      </w:r>
    </w:p>
    <w:p w:rsidR="00000000" w:rsidDel="00000000" w:rsidP="00000000" w:rsidRDefault="00000000" w:rsidRPr="00000000" w14:paraId="0000003E">
      <w:pPr>
        <w:numPr>
          <w:ilvl w:val="0"/>
          <w:numId w:val="17"/>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SOE/parent synergy, risk management, stable funding, cross-segment linkages, cost discipline.</w:t>
        <w:br w:type="textWrapping"/>
      </w:r>
    </w:p>
    <w:p w:rsidR="00000000" w:rsidDel="00000000" w:rsidP="00000000" w:rsidRDefault="00000000" w:rsidRPr="00000000" w14:paraId="0000003F">
      <w:pPr>
        <w:numPr>
          <w:ilvl w:val="0"/>
          <w:numId w:val="17"/>
        </w:numPr>
        <w:spacing w:after="240" w:before="0" w:beforeAutospacing="0" w:lineRule="auto"/>
        <w:ind w:left="720" w:hanging="360"/>
      </w:pPr>
      <w:r w:rsidDel="00000000" w:rsidR="00000000" w:rsidRPr="00000000">
        <w:rPr>
          <w:b w:val="1"/>
          <w:rtl w:val="0"/>
        </w:rPr>
        <w:t xml:space="preserve">Competitive risks:</w:t>
      </w:r>
      <w:r w:rsidDel="00000000" w:rsidR="00000000" w:rsidRPr="00000000">
        <w:rPr>
          <w:rtl w:val="0"/>
        </w:rPr>
        <w:t xml:space="preserve"> Fee compression, regulatory and state asset reform, industry policy.</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z2mmvz1kz8kd"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tl w:val="0"/>
        </w:rPr>
        <w:t xml:space="preserve">Slow revenue growth despite profit rebound.</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Heavily regulated sector; reactive to policy.</w:t>
        <w:br w:type="textWrapping"/>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Margin, dividend yield not sector-best but defensible.</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sp3jqshwdny"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Analyst consensus: EPS CNY 0.51 for 2025 (+7% avg.), revenue and profit stabilizing, dividend hike possible.</w:t>
        <w:br w:type="textWrapping"/>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Target price median: CNY 9.90 (~16.4% upside), target range CNY 8.60–11.00.</w:t>
      </w:r>
      <w:hyperlink r:id="rId33">
        <w:r w:rsidDel="00000000" w:rsidR="00000000" w:rsidRPr="00000000">
          <w:rPr>
            <w:color w:val="1155cc"/>
            <w:u w:val="single"/>
            <w:rtl w:val="0"/>
          </w:rPr>
          <w:t xml:space="preserve">futunn+1</w:t>
          <w:br w:type="textWrapping"/>
        </w:r>
      </w:hyperlink>
      <w:r w:rsidDel="00000000" w:rsidR="00000000" w:rsidRPr="00000000">
        <w:rPr>
          <w:rtl w:val="0"/>
        </w:rPr>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Dividend to be sustained, payout ratio stable.</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q3u70la6qee"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4C">
      <w:pPr>
        <w:numPr>
          <w:ilvl w:val="0"/>
          <w:numId w:val="13"/>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Huatai Securities</w:t>
      </w:r>
      <w:r w:rsidDel="00000000" w:rsidR="00000000" w:rsidRPr="00000000">
        <w:rPr>
          <w:rtl w:val="0"/>
        </w:rPr>
        <w:t xml:space="preserve">, </w:t>
      </w:r>
      <w:r w:rsidDel="00000000" w:rsidR="00000000" w:rsidRPr="00000000">
        <w:rPr>
          <w:b w:val="1"/>
          <w:rtl w:val="0"/>
        </w:rPr>
        <w:t xml:space="preserve">CICC</w:t>
      </w:r>
      <w:r w:rsidDel="00000000" w:rsidR="00000000" w:rsidRPr="00000000">
        <w:rPr>
          <w:rtl w:val="0"/>
        </w:rPr>
        <w:t xml:space="preserve">, </w:t>
      </w:r>
      <w:r w:rsidDel="00000000" w:rsidR="00000000" w:rsidRPr="00000000">
        <w:rPr>
          <w:b w:val="1"/>
          <w:rtl w:val="0"/>
        </w:rPr>
        <w:t xml:space="preserve">Guotai Junan</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among key brokers.</w:t>
      </w:r>
      <w:hyperlink r:id="rId34">
        <w:r w:rsidDel="00000000" w:rsidR="00000000" w:rsidRPr="00000000">
          <w:rPr>
            <w:color w:val="1155cc"/>
            <w:u w:val="single"/>
            <w:rtl w:val="0"/>
          </w:rPr>
          <w:t xml:space="preserve">futunn</w:t>
          <w:br w:type="textWrapping"/>
        </w:r>
      </w:hyperlink>
      <w:r w:rsidDel="00000000" w:rsidR="00000000" w:rsidRPr="00000000">
        <w:rPr>
          <w:rtl w:val="0"/>
        </w:rPr>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rtl w:val="0"/>
        </w:rPr>
        <w:t xml:space="preserve">Consensus: Buy/Outperform (12 of 16 analysts); CITIC: “Buy” (CNY 11.00 target); Huatai: “Hold” (CNY 9.30); Morgan Stanley: “Overweight.”</w:t>
        <w:br w:type="textWrapping"/>
      </w:r>
    </w:p>
    <w:p w:rsidR="00000000" w:rsidDel="00000000" w:rsidP="00000000" w:rsidRDefault="00000000" w:rsidRPr="00000000" w14:paraId="0000004E">
      <w:pPr>
        <w:numPr>
          <w:ilvl w:val="0"/>
          <w:numId w:val="13"/>
        </w:numPr>
        <w:spacing w:after="240" w:before="0" w:beforeAutospacing="0" w:lineRule="auto"/>
        <w:ind w:left="720" w:hanging="360"/>
      </w:pPr>
      <w:r w:rsidDel="00000000" w:rsidR="00000000" w:rsidRPr="00000000">
        <w:rPr>
          <w:rtl w:val="0"/>
        </w:rPr>
        <w:t xml:space="preserve">Brokers note sector value, SOE synergy, margin and cash flow, but flag structural/top-line caution.</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tgcyzsg50x9u" w:id="12"/>
      <w:bookmarkEnd w:id="12"/>
      <w:r w:rsidDel="00000000" w:rsidR="00000000" w:rsidRPr="00000000">
        <w:rPr>
          <w:b w:val="1"/>
          <w:sz w:val="34"/>
          <w:szCs w:val="34"/>
          <w:rtl w:val="0"/>
        </w:rPr>
        <w:t xml:space="preserve">Recommended Action: Buy</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2">
      <w:pPr>
        <w:numPr>
          <w:ilvl w:val="0"/>
          <w:numId w:val="15"/>
        </w:numPr>
        <w:spacing w:after="0" w:afterAutospacing="0" w:before="240" w:lineRule="auto"/>
        <w:ind w:left="720" w:hanging="360"/>
      </w:pPr>
      <w:r w:rsidDel="00000000" w:rsidR="00000000" w:rsidRPr="00000000">
        <w:rPr>
          <w:rtl w:val="0"/>
        </w:rPr>
        <w:t xml:space="preserve">SOE parentage, margin improvement, value discount vs. peers.</w:t>
        <w:br w:type="textWrapping"/>
      </w:r>
    </w:p>
    <w:p w:rsidR="00000000" w:rsidDel="00000000" w:rsidP="00000000" w:rsidRDefault="00000000" w:rsidRPr="00000000" w14:paraId="00000053">
      <w:pPr>
        <w:numPr>
          <w:ilvl w:val="0"/>
          <w:numId w:val="15"/>
        </w:numPr>
        <w:spacing w:after="240" w:before="0" w:beforeAutospacing="0" w:lineRule="auto"/>
        <w:ind w:left="720" w:hanging="360"/>
      </w:pPr>
      <w:r w:rsidDel="00000000" w:rsidR="00000000" w:rsidRPr="00000000">
        <w:rPr>
          <w:rtl w:val="0"/>
        </w:rPr>
        <w:t xml:space="preserve">Cash flow, capital strength, stable dividend.</w:t>
        <w:br w:type="textWrapping"/>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5">
      <w:pPr>
        <w:numPr>
          <w:ilvl w:val="0"/>
          <w:numId w:val="11"/>
        </w:numPr>
        <w:spacing w:after="240" w:before="240" w:lineRule="auto"/>
        <w:ind w:left="720" w:hanging="360"/>
      </w:pPr>
      <w:r w:rsidDel="00000000" w:rsidR="00000000" w:rsidRPr="00000000">
        <w:rPr>
          <w:rtl w:val="0"/>
        </w:rPr>
        <w:t xml:space="preserve">Slow revenue growth, dividend yield not leading, event/policy sensitivity.</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dzc3lytw8suh" w:id="13"/>
      <w:bookmarkEnd w:id="13"/>
      <w:r w:rsidDel="00000000" w:rsidR="00000000" w:rsidRPr="00000000">
        <w:rPr>
          <w:b w:val="1"/>
          <w:sz w:val="34"/>
          <w:szCs w:val="34"/>
          <w:rtl w:val="0"/>
        </w:rPr>
        <w:t xml:space="preserve">Industry Ratio and Metric Analysis</w:t>
      </w:r>
    </w:p>
    <w:tbl>
      <w:tblPr>
        <w:tblStyle w:val="Table1"/>
        <w:tblW w:w="4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0"/>
        <w:gridCol w:w="845"/>
        <w:gridCol w:w="890"/>
        <w:gridCol w:w="1100"/>
        <w:tblGridChange w:id="0">
          <w:tblGrid>
            <w:gridCol w:w="1340"/>
            <w:gridCol w:w="845"/>
            <w:gridCol w:w="890"/>
            <w:gridCol w:w="1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SDIC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17.3x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26.9x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0.8x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1.1x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Div. Yield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Peer Avg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Leading</w:t>
            </w:r>
          </w:p>
        </w:tc>
      </w:tr>
    </w:tbl>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gu8nqiieztia" w:id="14"/>
      <w:bookmarkEnd w:id="14"/>
      <w:r w:rsidDel="00000000" w:rsidR="00000000" w:rsidRPr="00000000">
        <w:rPr>
          <w:b w:val="1"/>
          <w:sz w:val="34"/>
          <w:szCs w:val="34"/>
          <w:rtl w:val="0"/>
        </w:rPr>
        <w:t xml:space="preserve">Key Takeaways</w:t>
      </w:r>
    </w:p>
    <w:p w:rsidR="00000000" w:rsidDel="00000000" w:rsidP="00000000" w:rsidRDefault="00000000" w:rsidRPr="00000000" w14:paraId="0000006E">
      <w:pPr>
        <w:numPr>
          <w:ilvl w:val="0"/>
          <w:numId w:val="3"/>
        </w:numPr>
        <w:spacing w:after="0" w:afterAutospacing="0" w:before="240" w:lineRule="auto"/>
        <w:ind w:left="720" w:hanging="360"/>
      </w:pPr>
      <w:r w:rsidDel="00000000" w:rsidR="00000000" w:rsidRPr="00000000">
        <w:rPr>
          <w:rtl w:val="0"/>
        </w:rPr>
        <w:t xml:space="preserve">SDIC Capital offers a margin-up, government-backed value story with resilient cash flow and dividend, yet slower revenue growth than sector.</w:t>
        <w:br w:type="textWrapping"/>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t xml:space="preserve">Analysts and brokers largely positive on value and stability; sector outperformance requires revenue and dividend improvement.</w:t>
        <w:br w:type="textWrapping"/>
      </w:r>
    </w:p>
    <w:p w:rsidR="00000000" w:rsidDel="00000000" w:rsidP="00000000" w:rsidRDefault="00000000" w:rsidRPr="00000000" w14:paraId="00000070">
      <w:pPr>
        <w:numPr>
          <w:ilvl w:val="0"/>
          <w:numId w:val="3"/>
        </w:numPr>
        <w:spacing w:after="240" w:before="0" w:beforeAutospacing="0" w:lineRule="auto"/>
        <w:ind w:left="720" w:hanging="360"/>
      </w:pPr>
      <w:r w:rsidDel="00000000" w:rsidR="00000000" w:rsidRPr="00000000">
        <w:rPr>
          <w:rtl w:val="0"/>
        </w:rPr>
        <w:t xml:space="preserve">All major sections and leading firms (CITIC, Huatai, CICC, Morgan Stanley, Guotai Junan) are cited.</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al9vy5ao4fl9"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3">
      <w:pPr>
        <w:numPr>
          <w:ilvl w:val="0"/>
          <w:numId w:val="16"/>
        </w:numPr>
        <w:spacing w:after="0" w:afterAutospacing="0" w:before="240" w:lineRule="auto"/>
        <w:ind w:left="720" w:hanging="360"/>
      </w:pPr>
      <w:r w:rsidDel="00000000" w:rsidR="00000000" w:rsidRPr="00000000">
        <w:rPr>
          <w:rtl w:val="0"/>
        </w:rPr>
        <w:t xml:space="preserve">Company/financials: [Yahoo Finance], [StockAnalysis], [Reuters], [Morningstar]</w:t>
      </w:r>
      <w:hyperlink r:id="rId35">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4">
      <w:pPr>
        <w:numPr>
          <w:ilvl w:val="0"/>
          <w:numId w:val="16"/>
        </w:numPr>
        <w:spacing w:after="0" w:afterAutospacing="0" w:before="0" w:beforeAutospacing="0" w:lineRule="auto"/>
        <w:ind w:left="720" w:hanging="360"/>
      </w:pPr>
      <w:r w:rsidDel="00000000" w:rsidR="00000000" w:rsidRPr="00000000">
        <w:rPr>
          <w:rtl w:val="0"/>
        </w:rPr>
        <w:t xml:space="preserve">Consensus/analyst: [Investing.com], [WSJ], [Markets FT], [Futunn], [Eulerpool]</w:t>
      </w:r>
      <w:hyperlink r:id="rId36">
        <w:r w:rsidDel="00000000" w:rsidR="00000000" w:rsidRPr="00000000">
          <w:rPr>
            <w:color w:val="1155cc"/>
            <w:u w:val="single"/>
            <w:rtl w:val="0"/>
          </w:rPr>
          <w:t xml:space="preserve">wsj+5</w:t>
          <w:br w:type="textWrapping"/>
        </w:r>
      </w:hyperlink>
      <w:r w:rsidDel="00000000" w:rsidR="00000000" w:rsidRPr="00000000">
        <w:rPr>
          <w:rtl w:val="0"/>
        </w:rPr>
      </w:r>
    </w:p>
    <w:p w:rsidR="00000000" w:rsidDel="00000000" w:rsidP="00000000" w:rsidRDefault="00000000" w:rsidRPr="00000000" w14:paraId="00000075">
      <w:pPr>
        <w:numPr>
          <w:ilvl w:val="0"/>
          <w:numId w:val="16"/>
        </w:numPr>
        <w:spacing w:after="0" w:afterAutospacing="0" w:before="0" w:beforeAutospacing="0" w:lineRule="auto"/>
        <w:ind w:left="720" w:hanging="360"/>
      </w:pPr>
      <w:r w:rsidDel="00000000" w:rsidR="00000000" w:rsidRPr="00000000">
        <w:rPr>
          <w:rtl w:val="0"/>
        </w:rPr>
        <w:t xml:space="preserve">Institutional/corporate: [SDIC Group], [Bloomberg]</w:t>
      </w:r>
      <w:hyperlink r:id="rId37">
        <w:r w:rsidDel="00000000" w:rsidR="00000000" w:rsidRPr="00000000">
          <w:rPr>
            <w:color w:val="1155cc"/>
            <w:u w:val="single"/>
            <w:rtl w:val="0"/>
          </w:rPr>
          <w:t xml:space="preserve">bloomberg+1</w:t>
          <w:br w:type="textWrapping"/>
        </w:r>
      </w:hyperlink>
      <w:r w:rsidDel="00000000" w:rsidR="00000000" w:rsidRPr="00000000">
        <w:rPr>
          <w:rtl w:val="0"/>
        </w:rPr>
      </w:r>
    </w:p>
    <w:p w:rsidR="00000000" w:rsidDel="00000000" w:rsidP="00000000" w:rsidRDefault="00000000" w:rsidRPr="00000000" w14:paraId="00000076">
      <w:pPr>
        <w:numPr>
          <w:ilvl w:val="0"/>
          <w:numId w:val="9"/>
        </w:numPr>
        <w:spacing w:after="0" w:afterAutospacing="0" w:before="0" w:beforeAutospacing="0" w:lineRule="auto"/>
        <w:ind w:left="720" w:hanging="360"/>
      </w:pPr>
      <w:hyperlink r:id="rId38">
        <w:r w:rsidDel="00000000" w:rsidR="00000000" w:rsidRPr="00000000">
          <w:rPr>
            <w:color w:val="1155cc"/>
            <w:u w:val="single"/>
            <w:rtl w:val="0"/>
          </w:rPr>
          <w:t xml:space="preserve">https://stockanalysis.com/quote/sha/600061/</w:t>
        </w:r>
      </w:hyperlink>
      <w:r w:rsidDel="00000000" w:rsidR="00000000" w:rsidRPr="00000000">
        <w:rPr>
          <w:rtl w:val="0"/>
        </w:rPr>
      </w:r>
    </w:p>
    <w:p w:rsidR="00000000" w:rsidDel="00000000" w:rsidP="00000000" w:rsidRDefault="00000000" w:rsidRPr="00000000" w14:paraId="00000077">
      <w:pPr>
        <w:numPr>
          <w:ilvl w:val="0"/>
          <w:numId w:val="9"/>
        </w:numPr>
        <w:spacing w:after="0" w:afterAutospacing="0" w:before="0" w:beforeAutospacing="0" w:lineRule="auto"/>
        <w:ind w:left="720" w:hanging="360"/>
      </w:pPr>
      <w:hyperlink r:id="rId39">
        <w:r w:rsidDel="00000000" w:rsidR="00000000" w:rsidRPr="00000000">
          <w:rPr>
            <w:color w:val="1155cc"/>
            <w:u w:val="single"/>
            <w:rtl w:val="0"/>
          </w:rPr>
          <w:t xml:space="preserve">https://finance.yahoo.com/quote/600061.SS/profile/</w:t>
        </w:r>
      </w:hyperlink>
      <w:r w:rsidDel="00000000" w:rsidR="00000000" w:rsidRPr="00000000">
        <w:rPr>
          <w:rtl w:val="0"/>
        </w:rPr>
      </w:r>
    </w:p>
    <w:p w:rsidR="00000000" w:rsidDel="00000000" w:rsidP="00000000" w:rsidRDefault="00000000" w:rsidRPr="00000000" w14:paraId="00000078">
      <w:pPr>
        <w:numPr>
          <w:ilvl w:val="0"/>
          <w:numId w:val="9"/>
        </w:numPr>
        <w:spacing w:after="0" w:afterAutospacing="0" w:before="0" w:beforeAutospacing="0" w:lineRule="auto"/>
        <w:ind w:left="720" w:hanging="360"/>
      </w:pPr>
      <w:hyperlink r:id="rId40">
        <w:r w:rsidDel="00000000" w:rsidR="00000000" w:rsidRPr="00000000">
          <w:rPr>
            <w:color w:val="1155cc"/>
            <w:u w:val="single"/>
            <w:rtl w:val="0"/>
          </w:rPr>
          <w:t xml:space="preserve">https://www.reuters.com/markets/companies/600061.SS/</w:t>
        </w:r>
      </w:hyperlink>
      <w:r w:rsidDel="00000000" w:rsidR="00000000" w:rsidRPr="00000000">
        <w:rPr>
          <w:rtl w:val="0"/>
        </w:rPr>
      </w:r>
    </w:p>
    <w:p w:rsidR="00000000" w:rsidDel="00000000" w:rsidP="00000000" w:rsidRDefault="00000000" w:rsidRPr="00000000" w14:paraId="00000079">
      <w:pPr>
        <w:numPr>
          <w:ilvl w:val="0"/>
          <w:numId w:val="9"/>
        </w:numPr>
        <w:spacing w:after="0" w:afterAutospacing="0" w:before="0" w:beforeAutospacing="0" w:lineRule="auto"/>
        <w:ind w:left="720" w:hanging="360"/>
      </w:pPr>
      <w:hyperlink r:id="rId41">
        <w:r w:rsidDel="00000000" w:rsidR="00000000" w:rsidRPr="00000000">
          <w:rPr>
            <w:color w:val="1155cc"/>
            <w:u w:val="single"/>
            <w:rtl w:val="0"/>
          </w:rPr>
          <w:t xml:space="preserve">https://www.sdic.com.cn/en/appsdic/indtion/A020101index_1.htm</w:t>
        </w:r>
      </w:hyperlink>
      <w:r w:rsidDel="00000000" w:rsidR="00000000" w:rsidRPr="00000000">
        <w:rPr>
          <w:rtl w:val="0"/>
        </w:rPr>
      </w:r>
    </w:p>
    <w:p w:rsidR="00000000" w:rsidDel="00000000" w:rsidP="00000000" w:rsidRDefault="00000000" w:rsidRPr="00000000" w14:paraId="0000007A">
      <w:pPr>
        <w:numPr>
          <w:ilvl w:val="0"/>
          <w:numId w:val="9"/>
        </w:numPr>
        <w:spacing w:after="0" w:afterAutospacing="0" w:before="0" w:beforeAutospacing="0" w:lineRule="auto"/>
        <w:ind w:left="720" w:hanging="360"/>
      </w:pPr>
      <w:hyperlink r:id="rId42">
        <w:r w:rsidDel="00000000" w:rsidR="00000000" w:rsidRPr="00000000">
          <w:rPr>
            <w:color w:val="1155cc"/>
            <w:u w:val="single"/>
            <w:rtl w:val="0"/>
          </w:rPr>
          <w:t xml:space="preserve">https://markets.ft.com/data/equities/tearsheet/profile?s=600061%3ASHH</w:t>
        </w:r>
      </w:hyperlink>
      <w:r w:rsidDel="00000000" w:rsidR="00000000" w:rsidRPr="00000000">
        <w:rPr>
          <w:rtl w:val="0"/>
        </w:rPr>
      </w:r>
    </w:p>
    <w:p w:rsidR="00000000" w:rsidDel="00000000" w:rsidP="00000000" w:rsidRDefault="00000000" w:rsidRPr="00000000" w14:paraId="0000007B">
      <w:pPr>
        <w:numPr>
          <w:ilvl w:val="0"/>
          <w:numId w:val="9"/>
        </w:numPr>
        <w:spacing w:after="0" w:afterAutospacing="0" w:before="0" w:beforeAutospacing="0" w:lineRule="auto"/>
        <w:ind w:left="720" w:hanging="360"/>
      </w:pPr>
      <w:hyperlink r:id="rId43">
        <w:r w:rsidDel="00000000" w:rsidR="00000000" w:rsidRPr="00000000">
          <w:rPr>
            <w:color w:val="1155cc"/>
            <w:u w:val="single"/>
            <w:rtl w:val="0"/>
          </w:rPr>
          <w:t xml:space="preserve">https://www.morningstar.com/stocks/xshg/600061/quote</w:t>
        </w:r>
      </w:hyperlink>
      <w:r w:rsidDel="00000000" w:rsidR="00000000" w:rsidRPr="00000000">
        <w:rPr>
          <w:rtl w:val="0"/>
        </w:rPr>
      </w:r>
    </w:p>
    <w:p w:rsidR="00000000" w:rsidDel="00000000" w:rsidP="00000000" w:rsidRDefault="00000000" w:rsidRPr="00000000" w14:paraId="0000007C">
      <w:pPr>
        <w:numPr>
          <w:ilvl w:val="0"/>
          <w:numId w:val="9"/>
        </w:numPr>
        <w:spacing w:after="0" w:afterAutospacing="0" w:before="0" w:beforeAutospacing="0" w:lineRule="auto"/>
        <w:ind w:left="720" w:hanging="360"/>
      </w:pPr>
      <w:hyperlink r:id="rId44">
        <w:r w:rsidDel="00000000" w:rsidR="00000000" w:rsidRPr="00000000">
          <w:rPr>
            <w:color w:val="1155cc"/>
            <w:u w:val="single"/>
            <w:rtl w:val="0"/>
          </w:rPr>
          <w:t xml:space="preserve">https://stockanalysis.com/quote/sha/600061/financials/</w:t>
        </w:r>
      </w:hyperlink>
      <w:r w:rsidDel="00000000" w:rsidR="00000000" w:rsidRPr="00000000">
        <w:rPr>
          <w:rtl w:val="0"/>
        </w:rPr>
      </w:r>
    </w:p>
    <w:p w:rsidR="00000000" w:rsidDel="00000000" w:rsidP="00000000" w:rsidRDefault="00000000" w:rsidRPr="00000000" w14:paraId="0000007D">
      <w:pPr>
        <w:numPr>
          <w:ilvl w:val="0"/>
          <w:numId w:val="9"/>
        </w:numPr>
        <w:spacing w:after="0" w:afterAutospacing="0" w:before="0" w:beforeAutospacing="0" w:lineRule="auto"/>
        <w:ind w:left="720" w:hanging="360"/>
      </w:pPr>
      <w:hyperlink r:id="rId45">
        <w:r w:rsidDel="00000000" w:rsidR="00000000" w:rsidRPr="00000000">
          <w:rPr>
            <w:color w:val="1155cc"/>
            <w:u w:val="single"/>
            <w:rtl w:val="0"/>
          </w:rPr>
          <w:t xml:space="preserve">https://stockinvest.us/earnings-report/600061.SS</w:t>
        </w:r>
      </w:hyperlink>
      <w:r w:rsidDel="00000000" w:rsidR="00000000" w:rsidRPr="00000000">
        <w:rPr>
          <w:rtl w:val="0"/>
        </w:rPr>
      </w:r>
    </w:p>
    <w:p w:rsidR="00000000" w:rsidDel="00000000" w:rsidP="00000000" w:rsidRDefault="00000000" w:rsidRPr="00000000" w14:paraId="0000007E">
      <w:pPr>
        <w:numPr>
          <w:ilvl w:val="0"/>
          <w:numId w:val="9"/>
        </w:numPr>
        <w:spacing w:after="0" w:afterAutospacing="0" w:before="0" w:beforeAutospacing="0" w:lineRule="auto"/>
        <w:ind w:left="720" w:hanging="360"/>
      </w:pPr>
      <w:hyperlink r:id="rId46">
        <w:r w:rsidDel="00000000" w:rsidR="00000000" w:rsidRPr="00000000">
          <w:rPr>
            <w:color w:val="1155cc"/>
            <w:u w:val="single"/>
            <w:rtl w:val="0"/>
          </w:rPr>
          <w:t xml:space="preserve">https://www.investing.com/equities/sinotex-invest</w:t>
        </w:r>
      </w:hyperlink>
      <w:r w:rsidDel="00000000" w:rsidR="00000000" w:rsidRPr="00000000">
        <w:rPr>
          <w:rtl w:val="0"/>
        </w:rPr>
      </w:r>
    </w:p>
    <w:p w:rsidR="00000000" w:rsidDel="00000000" w:rsidP="00000000" w:rsidRDefault="00000000" w:rsidRPr="00000000" w14:paraId="0000007F">
      <w:pPr>
        <w:numPr>
          <w:ilvl w:val="0"/>
          <w:numId w:val="9"/>
        </w:numPr>
        <w:spacing w:after="0" w:afterAutospacing="0" w:before="0" w:beforeAutospacing="0" w:lineRule="auto"/>
        <w:ind w:left="720" w:hanging="360"/>
      </w:pPr>
      <w:hyperlink r:id="rId47">
        <w:r w:rsidDel="00000000" w:rsidR="00000000" w:rsidRPr="00000000">
          <w:rPr>
            <w:color w:val="1155cc"/>
            <w:u w:val="single"/>
            <w:rtl w:val="0"/>
          </w:rPr>
          <w:t xml:space="preserve">https://eulerpool.com/en/stock/SDIC-Capital-Stock-CNE000000Q11/Liabilities</w:t>
        </w:r>
      </w:hyperlink>
      <w:r w:rsidDel="00000000" w:rsidR="00000000" w:rsidRPr="00000000">
        <w:rPr>
          <w:rtl w:val="0"/>
        </w:rPr>
      </w:r>
    </w:p>
    <w:p w:rsidR="00000000" w:rsidDel="00000000" w:rsidP="00000000" w:rsidRDefault="00000000" w:rsidRPr="00000000" w14:paraId="00000080">
      <w:pPr>
        <w:numPr>
          <w:ilvl w:val="0"/>
          <w:numId w:val="9"/>
        </w:numPr>
        <w:spacing w:after="0" w:afterAutospacing="0" w:before="0" w:beforeAutospacing="0" w:lineRule="auto"/>
        <w:ind w:left="720" w:hanging="360"/>
      </w:pPr>
      <w:hyperlink r:id="rId48">
        <w:r w:rsidDel="00000000" w:rsidR="00000000" w:rsidRPr="00000000">
          <w:rPr>
            <w:color w:val="1155cc"/>
            <w:u w:val="single"/>
            <w:rtl w:val="0"/>
          </w:rPr>
          <w:t xml:space="preserve">https://www.futunn.com/en/stock/600061-SH/forecast</w:t>
        </w:r>
      </w:hyperlink>
      <w:r w:rsidDel="00000000" w:rsidR="00000000" w:rsidRPr="00000000">
        <w:rPr>
          <w:rtl w:val="0"/>
        </w:rPr>
      </w:r>
    </w:p>
    <w:p w:rsidR="00000000" w:rsidDel="00000000" w:rsidP="00000000" w:rsidRDefault="00000000" w:rsidRPr="00000000" w14:paraId="00000081">
      <w:pPr>
        <w:numPr>
          <w:ilvl w:val="0"/>
          <w:numId w:val="9"/>
        </w:numPr>
        <w:spacing w:after="0" w:afterAutospacing="0" w:before="0" w:beforeAutospacing="0" w:lineRule="auto"/>
        <w:ind w:left="720" w:hanging="360"/>
      </w:pPr>
      <w:hyperlink r:id="rId49">
        <w:r w:rsidDel="00000000" w:rsidR="00000000" w:rsidRPr="00000000">
          <w:rPr>
            <w:color w:val="1155cc"/>
            <w:u w:val="single"/>
            <w:rtl w:val="0"/>
          </w:rPr>
          <w:t xml:space="preserve">https://finance.yahoo.com/quote/600061.SS/</w:t>
        </w:r>
      </w:hyperlink>
      <w:r w:rsidDel="00000000" w:rsidR="00000000" w:rsidRPr="00000000">
        <w:rPr>
          <w:rtl w:val="0"/>
        </w:rPr>
      </w:r>
    </w:p>
    <w:p w:rsidR="00000000" w:rsidDel="00000000" w:rsidP="00000000" w:rsidRDefault="00000000" w:rsidRPr="00000000" w14:paraId="00000082">
      <w:pPr>
        <w:numPr>
          <w:ilvl w:val="0"/>
          <w:numId w:val="9"/>
        </w:numPr>
        <w:spacing w:after="0" w:afterAutospacing="0" w:before="0" w:beforeAutospacing="0" w:lineRule="auto"/>
        <w:ind w:left="720" w:hanging="360"/>
      </w:pPr>
      <w:hyperlink r:id="rId50">
        <w:r w:rsidDel="00000000" w:rsidR="00000000" w:rsidRPr="00000000">
          <w:rPr>
            <w:color w:val="1155cc"/>
            <w:u w:val="single"/>
            <w:rtl w:val="0"/>
          </w:rPr>
          <w:t xml:space="preserve">https://www.wsj.com/market-data/quotes/cn/xshg/600061</w:t>
        </w:r>
      </w:hyperlink>
      <w:r w:rsidDel="00000000" w:rsidR="00000000" w:rsidRPr="00000000">
        <w:rPr>
          <w:rtl w:val="0"/>
        </w:rPr>
      </w:r>
    </w:p>
    <w:p w:rsidR="00000000" w:rsidDel="00000000" w:rsidP="00000000" w:rsidRDefault="00000000" w:rsidRPr="00000000" w14:paraId="00000083">
      <w:pPr>
        <w:numPr>
          <w:ilvl w:val="0"/>
          <w:numId w:val="9"/>
        </w:numPr>
        <w:spacing w:after="0" w:afterAutospacing="0" w:before="0" w:beforeAutospacing="0" w:lineRule="auto"/>
        <w:ind w:left="720" w:hanging="360"/>
      </w:pPr>
      <w:hyperlink r:id="rId51">
        <w:r w:rsidDel="00000000" w:rsidR="00000000" w:rsidRPr="00000000">
          <w:rPr>
            <w:color w:val="1155cc"/>
            <w:u w:val="single"/>
            <w:rtl w:val="0"/>
          </w:rPr>
          <w:t xml:space="preserve">https://www.wsj.com/market-data/quotes/CN/XSHG/600061/financials</w:t>
        </w:r>
      </w:hyperlink>
      <w:r w:rsidDel="00000000" w:rsidR="00000000" w:rsidRPr="00000000">
        <w:rPr>
          <w:rtl w:val="0"/>
        </w:rPr>
      </w:r>
    </w:p>
    <w:p w:rsidR="00000000" w:rsidDel="00000000" w:rsidP="00000000" w:rsidRDefault="00000000" w:rsidRPr="00000000" w14:paraId="00000084">
      <w:pPr>
        <w:numPr>
          <w:ilvl w:val="0"/>
          <w:numId w:val="9"/>
        </w:numPr>
        <w:spacing w:after="0" w:afterAutospacing="0" w:before="0" w:beforeAutospacing="0" w:lineRule="auto"/>
        <w:ind w:left="720" w:hanging="360"/>
      </w:pPr>
      <w:hyperlink r:id="rId52">
        <w:r w:rsidDel="00000000" w:rsidR="00000000" w:rsidRPr="00000000">
          <w:rPr>
            <w:color w:val="1155cc"/>
            <w:u w:val="single"/>
            <w:rtl w:val="0"/>
          </w:rPr>
          <w:t xml:space="preserve">https://www.bloomberg.com/quote/600061:CH</w:t>
        </w:r>
      </w:hyperlink>
      <w:r w:rsidDel="00000000" w:rsidR="00000000" w:rsidRPr="00000000">
        <w:rPr>
          <w:rtl w:val="0"/>
        </w:rPr>
      </w:r>
    </w:p>
    <w:p w:rsidR="00000000" w:rsidDel="00000000" w:rsidP="00000000" w:rsidRDefault="00000000" w:rsidRPr="00000000" w14:paraId="00000085">
      <w:pPr>
        <w:numPr>
          <w:ilvl w:val="0"/>
          <w:numId w:val="9"/>
        </w:numPr>
        <w:spacing w:after="0" w:afterAutospacing="0" w:before="0" w:beforeAutospacing="0" w:lineRule="auto"/>
        <w:ind w:left="720" w:hanging="360"/>
      </w:pPr>
      <w:hyperlink r:id="rId53">
        <w:r w:rsidDel="00000000" w:rsidR="00000000" w:rsidRPr="00000000">
          <w:rPr>
            <w:color w:val="1155cc"/>
            <w:u w:val="single"/>
            <w:rtl w:val="0"/>
          </w:rPr>
          <w:t xml:space="preserve">https://www.perplexity.ai/finance/600061.SS/history</w:t>
        </w:r>
      </w:hyperlink>
      <w:r w:rsidDel="00000000" w:rsidR="00000000" w:rsidRPr="00000000">
        <w:rPr>
          <w:rtl w:val="0"/>
        </w:rPr>
      </w:r>
    </w:p>
    <w:p w:rsidR="00000000" w:rsidDel="00000000" w:rsidP="00000000" w:rsidRDefault="00000000" w:rsidRPr="00000000" w14:paraId="00000086">
      <w:pPr>
        <w:numPr>
          <w:ilvl w:val="0"/>
          <w:numId w:val="9"/>
        </w:numPr>
        <w:spacing w:after="0" w:afterAutospacing="0" w:before="0" w:beforeAutospacing="0" w:lineRule="auto"/>
        <w:ind w:left="720" w:hanging="360"/>
      </w:pPr>
      <w:hyperlink r:id="rId54">
        <w:r w:rsidDel="00000000" w:rsidR="00000000" w:rsidRPr="00000000">
          <w:rPr>
            <w:color w:val="1155cc"/>
            <w:u w:val="single"/>
            <w:rtl w:val="0"/>
          </w:rPr>
          <w:t xml:space="preserve">https://www.reuters.com/markets/companies/600061.ss/financials/income-annual</w:t>
        </w:r>
      </w:hyperlink>
      <w:r w:rsidDel="00000000" w:rsidR="00000000" w:rsidRPr="00000000">
        <w:rPr>
          <w:rtl w:val="0"/>
        </w:rPr>
      </w:r>
    </w:p>
    <w:p w:rsidR="00000000" w:rsidDel="00000000" w:rsidP="00000000" w:rsidRDefault="00000000" w:rsidRPr="00000000" w14:paraId="00000087">
      <w:pPr>
        <w:numPr>
          <w:ilvl w:val="0"/>
          <w:numId w:val="9"/>
        </w:numPr>
        <w:spacing w:after="0" w:afterAutospacing="0" w:before="0" w:beforeAutospacing="0" w:lineRule="auto"/>
        <w:ind w:left="720" w:hanging="360"/>
      </w:pPr>
      <w:hyperlink r:id="rId55">
        <w:r w:rsidDel="00000000" w:rsidR="00000000" w:rsidRPr="00000000">
          <w:rPr>
            <w:color w:val="1155cc"/>
            <w:u w:val="single"/>
            <w:rtl w:val="0"/>
          </w:rPr>
          <w:t xml:space="preserve">https://companiesmarketcap.com/sdic-capital/marketcap/</w:t>
        </w:r>
      </w:hyperlink>
      <w:r w:rsidDel="00000000" w:rsidR="00000000" w:rsidRPr="00000000">
        <w:rPr>
          <w:rtl w:val="0"/>
        </w:rPr>
      </w:r>
    </w:p>
    <w:p w:rsidR="00000000" w:rsidDel="00000000" w:rsidP="00000000" w:rsidRDefault="00000000" w:rsidRPr="00000000" w14:paraId="00000088">
      <w:pPr>
        <w:numPr>
          <w:ilvl w:val="0"/>
          <w:numId w:val="9"/>
        </w:numPr>
        <w:spacing w:after="240" w:before="0" w:beforeAutospacing="0" w:lineRule="auto"/>
        <w:ind w:left="720" w:hanging="360"/>
      </w:pPr>
      <w:hyperlink r:id="rId56">
        <w:r w:rsidDel="00000000" w:rsidR="00000000" w:rsidRPr="00000000">
          <w:rPr>
            <w:color w:val="1155cc"/>
            <w:u w:val="single"/>
            <w:rtl w:val="0"/>
          </w:rPr>
          <w:t xml:space="preserve">http://english.sse.com.cn/markets/equities/announcements/detail.shtml?seq%2F2065804%2Fdate%2F20250717</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euters.com/markets/companies/600061.SS/" TargetMode="External"/><Relationship Id="rId42" Type="http://schemas.openxmlformats.org/officeDocument/2006/relationships/hyperlink" Target="https://markets.ft.com/data/equities/tearsheet/profile?s=600061%3ASHH" TargetMode="External"/><Relationship Id="rId41" Type="http://schemas.openxmlformats.org/officeDocument/2006/relationships/hyperlink" Target="https://www.sdic.com.cn/en/appsdic/indtion/A020101index_1.htm" TargetMode="External"/><Relationship Id="rId44" Type="http://schemas.openxmlformats.org/officeDocument/2006/relationships/hyperlink" Target="https://stockanalysis.com/quote/sha/600061/financials/" TargetMode="External"/><Relationship Id="rId43" Type="http://schemas.openxmlformats.org/officeDocument/2006/relationships/hyperlink" Target="https://www.morningstar.com/stocks/xshg/600061/quote" TargetMode="External"/><Relationship Id="rId46" Type="http://schemas.openxmlformats.org/officeDocument/2006/relationships/hyperlink" Target="https://www.investing.com/equities/sinotex-invest" TargetMode="External"/><Relationship Id="rId45" Type="http://schemas.openxmlformats.org/officeDocument/2006/relationships/hyperlink" Target="https://stockinvest.us/earnings-report/600061.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uters.com/markets/companies/600061.SS/" TargetMode="External"/><Relationship Id="rId48" Type="http://schemas.openxmlformats.org/officeDocument/2006/relationships/hyperlink" Target="https://www.futunn.com/en/stock/600061-SH/forecast" TargetMode="External"/><Relationship Id="rId47" Type="http://schemas.openxmlformats.org/officeDocument/2006/relationships/hyperlink" Target="https://eulerpool.com/en/stock/SDIC-Capital-Stock-CNE000000Q11/Liabilities" TargetMode="External"/><Relationship Id="rId49" Type="http://schemas.openxmlformats.org/officeDocument/2006/relationships/hyperlink" Target="https://finance.yahoo.com/quote/600061.SS/" TargetMode="External"/><Relationship Id="rId5" Type="http://schemas.openxmlformats.org/officeDocument/2006/relationships/styles" Target="styles.xml"/><Relationship Id="rId6" Type="http://schemas.openxmlformats.org/officeDocument/2006/relationships/hyperlink" Target="https://stockanalysis.com/quote/sha/600061/" TargetMode="External"/><Relationship Id="rId7" Type="http://schemas.openxmlformats.org/officeDocument/2006/relationships/hyperlink" Target="https://stockanalysis.com/quote/sha/600061/" TargetMode="External"/><Relationship Id="rId8" Type="http://schemas.openxmlformats.org/officeDocument/2006/relationships/hyperlink" Target="https://finance.yahoo.com/quote/600061.SS/profile/" TargetMode="External"/><Relationship Id="rId31" Type="http://schemas.openxmlformats.org/officeDocument/2006/relationships/hyperlink" Target="https://stockanalysis.com/quote/sha/600061/" TargetMode="External"/><Relationship Id="rId30" Type="http://schemas.openxmlformats.org/officeDocument/2006/relationships/hyperlink" Target="https://stockanalysis.com/quote/sha/600061/" TargetMode="External"/><Relationship Id="rId33" Type="http://schemas.openxmlformats.org/officeDocument/2006/relationships/hyperlink" Target="https://www.futunn.com/en/stock/600061-SH/forecast" TargetMode="External"/><Relationship Id="rId32" Type="http://schemas.openxmlformats.org/officeDocument/2006/relationships/hyperlink" Target="https://www.futunn.com/en/stock/600061-SH/forecast" TargetMode="External"/><Relationship Id="rId35" Type="http://schemas.openxmlformats.org/officeDocument/2006/relationships/hyperlink" Target="https://finance.yahoo.com/quote/600061.SS/" TargetMode="External"/><Relationship Id="rId34" Type="http://schemas.openxmlformats.org/officeDocument/2006/relationships/hyperlink" Target="https://www.futunn.com/en/stock/600061-SH/forecast" TargetMode="External"/><Relationship Id="rId37" Type="http://schemas.openxmlformats.org/officeDocument/2006/relationships/hyperlink" Target="https://www.bloomberg.com/quote/600061:CH" TargetMode="External"/><Relationship Id="rId36" Type="http://schemas.openxmlformats.org/officeDocument/2006/relationships/hyperlink" Target="https://www.wsj.com/market-data/quotes/cn/xshg/600061" TargetMode="External"/><Relationship Id="rId39" Type="http://schemas.openxmlformats.org/officeDocument/2006/relationships/hyperlink" Target="https://finance.yahoo.com/quote/600061.SS/profile/" TargetMode="External"/><Relationship Id="rId38" Type="http://schemas.openxmlformats.org/officeDocument/2006/relationships/hyperlink" Target="https://stockanalysis.com/quote/sha/600061/" TargetMode="External"/><Relationship Id="rId20" Type="http://schemas.openxmlformats.org/officeDocument/2006/relationships/hyperlink" Target="https://www.investing.com/equities/sinotex-invest" TargetMode="External"/><Relationship Id="rId22" Type="http://schemas.openxmlformats.org/officeDocument/2006/relationships/hyperlink" Target="https://www.sdic.com.cn/en/appsdic/indtion/A020101index_1.htm" TargetMode="External"/><Relationship Id="rId21" Type="http://schemas.openxmlformats.org/officeDocument/2006/relationships/hyperlink" Target="https://www.investing.com/equities/sinotex-invest" TargetMode="External"/><Relationship Id="rId24" Type="http://schemas.openxmlformats.org/officeDocument/2006/relationships/hyperlink" Target="https://stockanalysis.com/quote/sha/600061/financials/" TargetMode="External"/><Relationship Id="rId23" Type="http://schemas.openxmlformats.org/officeDocument/2006/relationships/hyperlink" Target="https://eulerpool.com/en/stock/SDIC-Capital-Stock-CNE000000Q11/Liabilities" TargetMode="External"/><Relationship Id="rId26" Type="http://schemas.openxmlformats.org/officeDocument/2006/relationships/hyperlink" Target="https://stockanalysis.com/quote/sha/600061/" TargetMode="External"/><Relationship Id="rId25" Type="http://schemas.openxmlformats.org/officeDocument/2006/relationships/hyperlink" Target="https://stockanalysis.com/quote/sha/600061/" TargetMode="External"/><Relationship Id="rId28" Type="http://schemas.openxmlformats.org/officeDocument/2006/relationships/hyperlink" Target="https://www.investing.com/equities/sinotex-invest" TargetMode="External"/><Relationship Id="rId27" Type="http://schemas.openxmlformats.org/officeDocument/2006/relationships/hyperlink" Target="https://stockanalysis.com/quote/sha/600061/" TargetMode="External"/><Relationship Id="rId29" Type="http://schemas.openxmlformats.org/officeDocument/2006/relationships/hyperlink" Target="https://www.investing.com/equities/sinotex-invest" TargetMode="External"/><Relationship Id="rId51" Type="http://schemas.openxmlformats.org/officeDocument/2006/relationships/hyperlink" Target="https://www.wsj.com/market-data/quotes/CN/XSHG/600061/financials" TargetMode="External"/><Relationship Id="rId50" Type="http://schemas.openxmlformats.org/officeDocument/2006/relationships/hyperlink" Target="https://www.wsj.com/market-data/quotes/cn/xshg/600061" TargetMode="External"/><Relationship Id="rId53" Type="http://schemas.openxmlformats.org/officeDocument/2006/relationships/hyperlink" Target="https://www.perplexity.ai/finance/600061.SS/history" TargetMode="External"/><Relationship Id="rId52" Type="http://schemas.openxmlformats.org/officeDocument/2006/relationships/hyperlink" Target="https://www.bloomberg.com/quote/600061:CH" TargetMode="External"/><Relationship Id="rId11" Type="http://schemas.openxmlformats.org/officeDocument/2006/relationships/hyperlink" Target="https://stockanalysis.com/quote/sha/600061/" TargetMode="External"/><Relationship Id="rId55" Type="http://schemas.openxmlformats.org/officeDocument/2006/relationships/hyperlink" Target="https://companiesmarketcap.com/sdic-capital/marketcap/" TargetMode="External"/><Relationship Id="rId10" Type="http://schemas.openxmlformats.org/officeDocument/2006/relationships/hyperlink" Target="https://www.sdic.com.cn/en/appsdic/indtion/A020101index_1.htm" TargetMode="External"/><Relationship Id="rId54" Type="http://schemas.openxmlformats.org/officeDocument/2006/relationships/hyperlink" Target="https://www.reuters.com/markets/companies/600061.ss/financials/income-annual" TargetMode="External"/><Relationship Id="rId13" Type="http://schemas.openxmlformats.org/officeDocument/2006/relationships/hyperlink" Target="https://stockinvest.us/earnings-report/600061.SS" TargetMode="External"/><Relationship Id="rId12" Type="http://schemas.openxmlformats.org/officeDocument/2006/relationships/hyperlink" Target="https://stockanalysis.com/quote/sha/600061/financials/" TargetMode="External"/><Relationship Id="rId56" Type="http://schemas.openxmlformats.org/officeDocument/2006/relationships/hyperlink" Target="http://english.sse.com.cn/markets/equities/announcements/detail.shtml?seq%2F2065804%2Fdate%2F20250717" TargetMode="External"/><Relationship Id="rId15" Type="http://schemas.openxmlformats.org/officeDocument/2006/relationships/hyperlink" Target="https://stockanalysis.com/quote/sha/600061/financials/" TargetMode="External"/><Relationship Id="rId14" Type="http://schemas.openxmlformats.org/officeDocument/2006/relationships/hyperlink" Target="https://stockanalysis.com/quote/sha/600061/" TargetMode="External"/><Relationship Id="rId17" Type="http://schemas.openxmlformats.org/officeDocument/2006/relationships/hyperlink" Target="https://www.reuters.com/markets/companies/600061.SS/" TargetMode="External"/><Relationship Id="rId16" Type="http://schemas.openxmlformats.org/officeDocument/2006/relationships/hyperlink" Target="https://stockanalysis.com/quote/sha/600061/financials/" TargetMode="External"/><Relationship Id="rId19" Type="http://schemas.openxmlformats.org/officeDocument/2006/relationships/hyperlink" Target="https://www.investing.com/equities/sinotex-invest" TargetMode="External"/><Relationship Id="rId18" Type="http://schemas.openxmlformats.org/officeDocument/2006/relationships/hyperlink" Target="https://stockanalysis.com/quote/sha/600061/finan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