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C">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0">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0">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1">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High priority, Implement multiple types of security to protect users PII and SPII. This includes encryption, implementing least privilege, and separation of duties. Password security must be implemented as well. Password policies are to be updated to new standards and create a password management system. Must install an IDS for IT to verify security. Must create backups for recovery if needed. Must correct payment options to abide by all PCI DSS standards including password management, encryption, securing user PII and SPII, and limiting access to only authorized users. Under GDPR E.U. customer's data must be secured and data must be classified and inventoried.</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