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mc:AlternateContent>
          <mc:Choice Requires="wpg">
            <w:drawing>
              <wp:inline>
                <a:graphic>
                  <a:graphicData>
                    <wps:wsp>
                      <wps:txbx>
                        <w:txbxContent>
                          <w:p>
                            <w:r>
                              <w:t>Choice one box.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Choice Requires="wps">
            <w:drawing>
              <wp:inline>
                <a:graphic>
                  <a:graphicData>
                    <wps:wsp>
                      <wps:txbx>
                        <w:txbxContent>
                          <w:p>
                            <w:r>
                              <w:t>Choice two box.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ict>
              <v:shape>
                <v:textbox>
                  <w:txbxContent>
                    <w:p>
                      <w:r>
                        <w:t>Fallback box.</w:t>
                      </w:r>
                    </w:p>
                  </w:txbxContent>
                </v:textbox>
              </v:shape>
            </w:pict>
          </mc:Fallback>
        </mc:AlternateContent>
      </w:r>
    </w:p>
  </w:body>
</w:document>
</file>