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162037"/>
          <w:sz w:val="46"/>
        </w:rPr>
        <w:t>MODELCANVAS</w:t>
      </w:r>
    </w:p>
    <w:p>
      <w:pPr>
        <w:spacing w:after="320"/>
      </w:pPr>
      <w:r>
        <w:rPr>
          <w:rFonts w:ascii="Calibri" w:hAnsi="Calibri"/>
          <w:b w:val="0"/>
          <w:color w:val="65708A"/>
          <w:sz w:val="28"/>
        </w:rPr>
        <w:t>A universal rendering bridge for model-generated output</w:t>
      </w:r>
    </w:p>
    <w:p>
      <w:pPr>
        <w:spacing w:after="40"/>
      </w:pPr>
      <w:r>
        <w:rPr>
          <w:rFonts w:ascii="Calibri" w:hAnsi="Calibri"/>
          <w:b/>
          <w:color w:val="162037"/>
          <w:sz w:val="21"/>
        </w:rPr>
        <w:t xml:space="preserve">Status: </w:t>
      </w:r>
      <w:r>
        <w:rPr>
          <w:rFonts w:ascii="Calibri" w:hAnsi="Calibri"/>
          <w:b w:val="0"/>
          <w:color w:val="162037"/>
          <w:sz w:val="21"/>
        </w:rPr>
        <w:t>Interactive prototype</w:t>
      </w:r>
    </w:p>
    <w:p>
      <w:pPr>
        <w:spacing w:after="40"/>
      </w:pPr>
      <w:r>
        <w:rPr>
          <w:rFonts w:ascii="Calibri" w:hAnsi="Calibri"/>
          <w:b/>
          <w:color w:val="162037"/>
          <w:sz w:val="21"/>
        </w:rPr>
        <w:t xml:space="preserve">Protocol: </w:t>
      </w:r>
      <w:r>
        <w:rPr>
          <w:rFonts w:ascii="Calibri" w:hAnsi="Calibri"/>
          <w:b w:val="0"/>
          <w:color w:val="162037"/>
          <w:sz w:val="21"/>
        </w:rPr>
        <w:t>RenderEnvelope 1.0.0</w:t>
      </w:r>
    </w:p>
    <w:p>
      <w:pPr>
        <w:spacing w:after="40"/>
      </w:pPr>
      <w:r>
        <w:rPr>
          <w:rFonts w:ascii="Calibri" w:hAnsi="Calibri"/>
          <w:b/>
          <w:color w:val="162037"/>
          <w:sz w:val="21"/>
        </w:rPr>
        <w:t xml:space="preserve">Updated: </w:t>
      </w:r>
      <w:r>
        <w:rPr>
          <w:rFonts w:ascii="Calibri" w:hAnsi="Calibri"/>
          <w:b w:val="0"/>
          <w:color w:val="162037"/>
          <w:sz w:val="21"/>
        </w:rPr>
        <w:t>11 July 2026</w:t>
      </w:r>
    </w:p>
    <w:p>
      <w:pPr>
        <w:spacing w:after="40"/>
      </w:pPr>
      <w:r>
        <w:rPr>
          <w:rFonts w:ascii="Calibri" w:hAnsi="Calibri"/>
          <w:b/>
          <w:color w:val="162037"/>
          <w:sz w:val="21"/>
        </w:rPr>
        <w:t xml:space="preserve">Mode: </w:t>
      </w:r>
      <w:r>
        <w:rPr>
          <w:rFonts w:ascii="Calibri" w:hAnsi="Calibri"/>
          <w:b w:val="0"/>
          <w:color w:val="162037"/>
          <w:sz w:val="21"/>
        </w:rPr>
        <w:t>Offline fixture</w:t>
      </w:r>
    </w:p>
    <w:p>
      <w:pPr>
        <w:pStyle w:val="Heading1"/>
      </w:pPr>
      <w:r>
        <w:t>Product summary</w:t>
      </w:r>
    </w:p>
    <w:p>
      <w:pPr>
        <w:keepLines/>
      </w:pPr>
      <w:r>
        <w:t>ModelCanvas validates untrusted model or tool output, resolves a compatible renderer, and isolates failures before presenting rich text, charts, media, documents, widgets, or executable artifacts.</w:t>
      </w:r>
    </w:p>
    <w:p>
      <w:pPr>
        <w:pStyle w:val="Heading1"/>
      </w:pPr>
      <w:r>
        <w:t>Three trust paths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162037"/>
          <w:sz w:val="22"/>
        </w:rPr>
        <w:t xml:space="preserve">Controlled rendering: </w:t>
      </w:r>
      <w:r>
        <w:rPr>
          <w:rFonts w:ascii="Calibri" w:hAnsi="Calibri"/>
          <w:b w:val="0"/>
          <w:color w:val="162037"/>
          <w:sz w:val="22"/>
        </w:rPr>
        <w:t>Pre-registered React components receive exact, validated payloads.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162037"/>
          <w:sz w:val="22"/>
        </w:rPr>
        <w:t xml:space="preserve">Declarative rendering: </w:t>
      </w:r>
      <w:r>
        <w:rPr>
          <w:rFonts w:ascii="Calibri" w:hAnsi="Calibri"/>
          <w:b w:val="0"/>
          <w:color w:val="162037"/>
          <w:sz w:val="22"/>
        </w:rPr>
        <w:t>Models compose only components in an allow-listed catalog.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162037"/>
          <w:sz w:val="22"/>
        </w:rPr>
        <w:t xml:space="preserve">Open-ended artifacts: </w:t>
      </w:r>
      <w:r>
        <w:rPr>
          <w:rFonts w:ascii="Calibri" w:hAnsi="Calibri"/>
          <w:b w:val="0"/>
          <w:color w:val="162037"/>
          <w:sz w:val="22"/>
        </w:rPr>
        <w:t>HTML, React, and Python run in sandboxed iframes or terminable Workers.</w:t>
      </w:r>
    </w:p>
    <w:p>
      <w:pPr>
        <w:pStyle w:val="Heading1"/>
      </w:pPr>
      <w:r>
        <w:t>Core capability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3600"/>
        <w:gridCol w:w="2160"/>
        <w:gridCol w:w="2160"/>
      </w:tblGrid>
      <w:tr>
        <w:trPr/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2037"/>
                <w:sz w:val="19"/>
              </w:rPr>
              <w:t>Layer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2037"/>
                <w:sz w:val="19"/>
              </w:rPr>
              <w:t>Responsibility</w:t>
            </w:r>
          </w:p>
        </w:tc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2037"/>
                <w:sz w:val="19"/>
              </w:rPr>
              <w:t>Isolation</w:t>
            </w:r>
          </w:p>
        </w:tc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2037"/>
                <w:sz w:val="19"/>
              </w:rPr>
              <w:t>Offline demo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Schema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Exact Zod union and migrations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Input boundary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Yes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Registry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Type, MIME, extension and priority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Lazy module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Yes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Renderer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Content-specific interaction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Error boundary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Yes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Artifact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Generated executable output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Iframe / Worker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037"/>
                <w:sz w:val="19"/>
              </w:rPr>
              <w:t>Yes</w:t>
            </w:r>
          </w:p>
        </w:tc>
      </w:tr>
    </w:tbl>
    <w:p>
      <w:pPr>
        <w:pStyle w:val="Heading1"/>
      </w:pPr>
      <w:r>
        <w:t>Safety defaults</w:t>
      </w:r>
    </w:p>
    <w:p>
      <w:pPr>
        <w:pStyle w:val="ListBullet"/>
        <w:spacing w:after="160" w:line="280" w:lineRule="auto"/>
        <w:ind w:left="720" w:hanging="360"/>
      </w:pPr>
      <w:r>
        <w:t>No model output executes in the host window.</w:t>
      </w:r>
    </w:p>
    <w:p>
      <w:pPr>
        <w:pStyle w:val="ListBullet"/>
        <w:spacing w:after="160" w:line="280" w:lineRule="auto"/>
        <w:ind w:left="720" w:hanging="360"/>
      </w:pPr>
      <w:r>
        <w:t>Network access is disabled for artifacts unless an origin is allow-listed.</w:t>
      </w:r>
    </w:p>
    <w:p>
      <w:pPr>
        <w:pStyle w:val="ListBullet"/>
        <w:spacing w:after="160" w:line="280" w:lineRule="auto"/>
        <w:ind w:left="720" w:hanging="360"/>
      </w:pPr>
      <w:r>
        <w:t>Every external write action requires a visible confirmation step.</w:t>
      </w:r>
    </w:p>
    <w:p>
      <w:pPr>
        <w:pStyle w:val="ListBullet"/>
        <w:spacing w:after="160" w:line="280" w:lineRule="auto"/>
        <w:ind w:left="720" w:hanging="360"/>
      </w:pPr>
      <w:r>
        <w:t>No API key is included in client code or fixture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5708A"/>
        <w:sz w:val="16"/>
      </w:rPr>
      <w:t>Sample document - fixture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5708A"/>
        <w:sz w:val="17"/>
      </w:rPr>
      <w:t>MODELCANVAS  /  PRODUCT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620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05FD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05FD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ModelCanvas Product Brief</dc:title>
  <dc:subject>Offline renderer fixture</dc:subject>
  <dc:creator>ModelCanvas Demo Provider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