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120"/>
        <w:jc w:val="center"/>
      </w:pPr>
      <w:r>
        <w:rPr>
          <w:rFonts w:ascii="Arial" w:cs="Arial" w:eastAsia="Arial" w:hAnsi="Arial"/>
          <w:b/>
          <w:bCs/>
          <w:color w:val="1F3864"/>
          <w:sz w:val="52"/>
          <w:szCs w:val="52"/>
        </w:rPr>
        <w:t xml:space="preserve">DATA BATTLE 2026</w:t>
      </w:r>
    </w:p>
    <w:p>
      <w:pPr>
        <w:spacing w:after="80"/>
        <w:jc w:val="center"/>
      </w:pPr>
      <w:r>
        <w:rPr>
          <w:rFonts w:ascii="Arial" w:cs="Arial" w:eastAsia="Arial" w:hAnsi="Arial"/>
          <w:color w:val="2E75B6"/>
          <w:sz w:val="32"/>
          <w:szCs w:val="32"/>
        </w:rPr>
        <w:t xml:space="preserve">Météorage — Prédiction de la fin d'un orage</w:t>
      </w:r>
    </w:p>
    <w:p>
      <w:pPr>
        <w:pBdr>
          <w:bottom w:val="single" w:color="2E75B6" w:sz="12"/>
        </w:pBdr>
        <w:spacing w:after="400"/>
        <w:jc w:val="center"/>
      </w:pPr>
    </w:p>
    <w:p>
      <w:pPr>
        <w:spacing w:after="600"/>
      </w:pP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Métrique</w:t>
            </w:r>
          </w:p>
        </w:tc>
        <w:tc>
          <w:tcPr>
            <w:tcW w:type="dxa" w:w="36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Résultat</w:t>
            </w:r>
          </w:p>
        </w:tc>
      </w:tr>
      <w:tr>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AUC (cross-validation)</w:t>
            </w:r>
          </w:p>
        </w:tc>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375623"/>
                <w:sz w:val="19"/>
                <w:szCs w:val="19"/>
              </w:rPr>
              <w:t xml:space="preserve">0.9328 ± 0.003</w:t>
            </w:r>
          </w:p>
        </w:tc>
      </w:tr>
      <w:tr>
        <w:tc>
          <w:tcPr>
            <w:tcW w:type="dxa" w:w="36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F1-score optimal</w:t>
            </w:r>
          </w:p>
        </w:tc>
        <w:tc>
          <w:tcPr>
            <w:tcW w:type="dxa" w:w="36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2E75B6"/>
                <w:sz w:val="19"/>
                <w:szCs w:val="19"/>
              </w:rPr>
              <w:t xml:space="preserve">0.4330</w:t>
            </w:r>
          </w:p>
        </w:tc>
      </w:tr>
      <w:tr>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Gain temporel (eval)</w:t>
            </w:r>
          </w:p>
        </w:tc>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375623"/>
                <w:sz w:val="19"/>
                <w:szCs w:val="19"/>
              </w:rPr>
              <w:t xml:space="preserve">213.8 heures</w:t>
            </w:r>
          </w:p>
        </w:tc>
      </w:tr>
      <w:tr>
        <w:tc>
          <w:tcPr>
            <w:tcW w:type="dxa" w:w="36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Risque (éclairs manqués)</w:t>
            </w:r>
          </w:p>
        </w:tc>
        <w:tc>
          <w:tcPr>
            <w:tcW w:type="dxa" w:w="36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375623"/>
                <w:sz w:val="19"/>
                <w:szCs w:val="19"/>
              </w:rPr>
              <w:t xml:space="preserve">1.15% &lt; 2% ✓</w:t>
            </w:r>
          </w:p>
        </w:tc>
      </w:tr>
      <w:tr>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Baseline météorage</w:t>
            </w:r>
          </w:p>
        </w:tc>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80.77% (accuracy)</w:t>
            </w:r>
          </w:p>
        </w:tc>
      </w:tr>
    </w:tbl>
    <w:p>
      <w:pPr>
        <w:spacing w:after="800"/>
      </w:pPr>
    </w:p>
    <w:p>
      <w:pPr>
        <w:jc w:val="center"/>
      </w:pPr>
      <w:r>
        <w:rPr>
          <w:rFonts w:ascii="Arial" w:cs="Arial" w:eastAsia="Arial" w:hAnsi="Arial"/>
          <w:color w:val="666666"/>
          <w:sz w:val="22"/>
          <w:szCs w:val="22"/>
        </w:rPr>
        <w:t xml:space="preserve">Rapport technique — 26 mars 2026</w:t>
      </w:r>
    </w:p>
    <w:p>
      <w:r>
        <w:br w:type="page"/>
      </w:r>
    </w:p>
    <w:p>
      <w:pPr>
        <w:pStyle w:val="Heading1"/>
        <w:spacing w:after="200" w:before="360"/>
      </w:pPr>
      <w:r>
        <w:rPr>
          <w:rFonts w:ascii="Arial" w:cs="Arial" w:eastAsia="Arial" w:hAnsi="Arial"/>
          <w:b/>
          <w:bCs/>
          <w:color w:val="1F3864"/>
          <w:sz w:val="32"/>
          <w:szCs w:val="32"/>
        </w:rPr>
        <w:t xml:space="preserve">1. Contexte et objectifs</w:t>
      </w:r>
    </w:p>
    <w:p>
      <w:pPr>
        <w:pBdr>
          <w:bottom w:val="single" w:color="2E75B6" w:sz="8" w:space="1"/>
        </w:pBdr>
        <w:spacing w:after="120"/>
      </w:pPr>
    </w:p>
    <w:p>
      <w:pPr>
        <w:spacing w:after="140"/>
        <w:jc w:val="both"/>
      </w:pPr>
      <w:r>
        <w:rPr>
          <w:rFonts w:ascii="Arial" w:cs="Arial" w:eastAsia="Arial" w:hAnsi="Arial"/>
          <w:sz w:val="22"/>
          <w:szCs w:val="22"/>
        </w:rPr>
        <w:t xml:space="preserve">Les aéroports européens sont régulièrement perturbés par des orages. La réglementation impose le maintien d'une alerte pendant une durée fixe de 30 à 60 minutes après le dernier éclair détecté dans la zone de surveillance. Cette règle, bien que prudente, entraîne des immobilisations systématiques qui coûtent chaque année des centaines d'heures d'exploitation inutiles.</w:t>
      </w:r>
    </w:p>
    <w:p>
      <w:pPr>
        <w:spacing w:after="140"/>
        <w:jc w:val="both"/>
      </w:pPr>
      <w:r>
        <w:rPr>
          <w:rFonts w:ascii="Arial" w:cs="Arial" w:eastAsia="Arial" w:hAnsi="Arial"/>
          <w:sz w:val="22"/>
          <w:szCs w:val="22"/>
        </w:rPr>
        <w:t xml:space="preserve">L'objectif de ce projet est de développer un modèle probabiliste capable d'estimer, en temps réel, la probabilité qu'un éclair nuage-sol soit le dernier de l'alerte en cours. En identifiant plus tôt la fin réelle de l'orage, il est possible de réduire significativement le temps d'immobilisation tout en maintenant un niveau de sécurité acceptable.</w:t>
      </w:r>
    </w:p>
    <w:p>
      <w:pPr>
        <w:spacing w:after="80"/>
      </w:pPr>
    </w:p>
    <w:p>
      <w:pPr>
        <w:pStyle w:val="Heading2"/>
        <w:spacing w:after="160" w:before="300"/>
      </w:pPr>
      <w:r>
        <w:rPr>
          <w:rFonts w:ascii="Arial" w:cs="Arial" w:eastAsia="Arial" w:hAnsi="Arial"/>
          <w:b/>
          <w:bCs/>
          <w:color w:val="2F5496"/>
          <w:sz w:val="26"/>
          <w:szCs w:val="26"/>
        </w:rPr>
        <w:t xml:space="preserve">1.1 Données fournies par Météorage</w:t>
      </w:r>
    </w:p>
    <w:p>
      <w:pPr>
        <w:spacing w:after="140"/>
        <w:jc w:val="both"/>
      </w:pPr>
      <w:r>
        <w:rPr>
          <w:rFonts w:ascii="Arial" w:cs="Arial" w:eastAsia="Arial" w:hAnsi="Arial"/>
          <w:sz w:val="22"/>
          <w:szCs w:val="22"/>
        </w:rPr>
        <w:t xml:space="preserve">Les données sont issues du réseau de détection de foudre Météorage, couvrant 5 aéroports européens dans une zone de 30 km de rayon. Chaque ligne correspond à un éclair détecté.</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Colonne</w:t>
            </w:r>
          </w:p>
        </w:tc>
        <w:tc>
          <w:tcPr>
            <w:tcW w:type="dxa" w:w="18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Type</w:t>
            </w:r>
          </w:p>
        </w:tc>
        <w:tc>
          <w:tcPr>
            <w:tcW w:type="dxa" w:w="536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Description</w:t>
            </w:r>
          </w:p>
        </w:tc>
      </w:tr>
      <w:tr>
        <w:tc>
          <w:tcPr>
            <w:tcW w:type="dxa" w:w="2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lightning_id</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entier</w:t>
            </w:r>
          </w:p>
        </w:tc>
        <w:tc>
          <w:tcPr>
            <w:tcW w:type="dxa" w:w="5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Identifiant unique de l'éclair</w:t>
            </w:r>
          </w:p>
        </w:tc>
      </w:tr>
      <w:tr>
        <w:tc>
          <w:tcPr>
            <w:tcW w:type="dxa" w:w="22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date</w:t>
            </w:r>
          </w:p>
        </w:tc>
        <w:tc>
          <w:tcPr>
            <w:tcW w:type="dxa" w:w="18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horodatage</w:t>
            </w:r>
          </w:p>
        </w:tc>
        <w:tc>
          <w:tcPr>
            <w:tcW w:type="dxa" w:w="5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Date et heure UTC de l'éclair</w:t>
            </w:r>
          </w:p>
        </w:tc>
      </w:tr>
      <w:tr>
        <w:tc>
          <w:tcPr>
            <w:tcW w:type="dxa" w:w="2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lon / lat</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flottant</w:t>
            </w:r>
          </w:p>
        </w:tc>
        <w:tc>
          <w:tcPr>
            <w:tcW w:type="dxa" w:w="5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Coordonnées géographiques</w:t>
            </w:r>
          </w:p>
        </w:tc>
      </w:tr>
      <w:tr>
        <w:tc>
          <w:tcPr>
            <w:tcW w:type="dxa" w:w="22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amplitude</w:t>
            </w:r>
          </w:p>
        </w:tc>
        <w:tc>
          <w:tcPr>
            <w:tcW w:type="dxa" w:w="18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flottant (kA)</w:t>
            </w:r>
          </w:p>
        </w:tc>
        <w:tc>
          <w:tcPr>
            <w:tcW w:type="dxa" w:w="5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Intensité du courant (négatif = polarité négative)</w:t>
            </w:r>
          </w:p>
        </w:tc>
      </w:tr>
      <w:tr>
        <w:tc>
          <w:tcPr>
            <w:tcW w:type="dxa" w:w="2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maxis</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flottant (kA)</w:t>
            </w:r>
          </w:p>
        </w:tc>
        <w:tc>
          <w:tcPr>
            <w:tcW w:type="dxa" w:w="5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Courant crête instantané</w:t>
            </w:r>
          </w:p>
        </w:tc>
      </w:tr>
      <w:tr>
        <w:tc>
          <w:tcPr>
            <w:tcW w:type="dxa" w:w="22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icloud</w:t>
            </w:r>
          </w:p>
        </w:tc>
        <w:tc>
          <w:tcPr>
            <w:tcW w:type="dxa" w:w="18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booléen</w:t>
            </w:r>
          </w:p>
        </w:tc>
        <w:tc>
          <w:tcPr>
            <w:tcW w:type="dxa" w:w="5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True = intra-nuage (IC), False = nuage-sol (CG)</w:t>
            </w:r>
          </w:p>
        </w:tc>
      </w:tr>
      <w:tr>
        <w:tc>
          <w:tcPr>
            <w:tcW w:type="dxa" w:w="2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dist</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flottant (km)</w:t>
            </w:r>
          </w:p>
        </w:tc>
        <w:tc>
          <w:tcPr>
            <w:tcW w:type="dxa" w:w="5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Distance à l'aéroport (0–30 km)</w:t>
            </w:r>
          </w:p>
        </w:tc>
      </w:tr>
      <w:tr>
        <w:tc>
          <w:tcPr>
            <w:tcW w:type="dxa" w:w="22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azimuth</w:t>
            </w:r>
          </w:p>
        </w:tc>
        <w:tc>
          <w:tcPr>
            <w:tcW w:type="dxa" w:w="18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flottant (°)</w:t>
            </w:r>
          </w:p>
        </w:tc>
        <w:tc>
          <w:tcPr>
            <w:tcW w:type="dxa" w:w="5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Direction angulaire depuis l'aéroport</w:t>
            </w:r>
          </w:p>
        </w:tc>
      </w:tr>
      <w:tr>
        <w:tc>
          <w:tcPr>
            <w:tcW w:type="dxa" w:w="2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airport</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texte</w:t>
            </w:r>
          </w:p>
        </w:tc>
        <w:tc>
          <w:tcPr>
            <w:tcW w:type="dxa" w:w="5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Nom de l'aéroport</w:t>
            </w:r>
          </w:p>
        </w:tc>
      </w:tr>
      <w:tr>
        <w:tc>
          <w:tcPr>
            <w:tcW w:type="dxa" w:w="22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airport_alert_id</w:t>
            </w:r>
          </w:p>
        </w:tc>
        <w:tc>
          <w:tcPr>
            <w:tcW w:type="dxa" w:w="18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entier / NaN</w:t>
            </w:r>
          </w:p>
        </w:tc>
        <w:tc>
          <w:tcPr>
            <w:tcW w:type="dxa" w:w="5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Identifiant de l'alerte (NaN si hors alerte)</w:t>
            </w:r>
          </w:p>
        </w:tc>
      </w:tr>
      <w:tr>
        <w:tc>
          <w:tcPr>
            <w:tcW w:type="dxa" w:w="2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is_last_lightning_cloud_ground</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booléen / NaN</w:t>
            </w:r>
          </w:p>
        </w:tc>
        <w:tc>
          <w:tcPr>
            <w:tcW w:type="dxa" w:w="5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CIBLE : True si dernier éclair CG de l'alerte</w:t>
            </w:r>
          </w:p>
        </w:tc>
      </w:tr>
    </w:tbl>
    <w:p>
      <w:pPr>
        <w:spacing w:after="160"/>
      </w:pPr>
    </w:p>
    <w:p>
      <w:pPr>
        <w:pStyle w:val="Heading2"/>
        <w:spacing w:after="160" w:before="300"/>
      </w:pPr>
      <w:r>
        <w:rPr>
          <w:rFonts w:ascii="Arial" w:cs="Arial" w:eastAsia="Arial" w:hAnsi="Arial"/>
          <w:b/>
          <w:bCs/>
          <w:color w:val="2F5496"/>
          <w:sz w:val="26"/>
          <w:szCs w:val="26"/>
        </w:rPr>
        <w:t xml:space="preserve">1.2 Périmètre des données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
            </w:r>
          </w:p>
        </w:tc>
        <w:tc>
          <w:tcPr>
            <w:tcW w:type="dxa" w:w="312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Train (2016–2022)</w:t>
            </w:r>
          </w:p>
        </w:tc>
        <w:tc>
          <w:tcPr>
            <w:tcW w:type="dxa" w:w="312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Évaluation (2023–2025)</w:t>
            </w:r>
          </w:p>
        </w:tc>
      </w:tr>
      <w:tr>
        <w:tc>
          <w:tcPr>
            <w:tcW w:type="dxa" w:w="31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Éclairs totaux</w:t>
            </w:r>
          </w:p>
        </w:tc>
        <w:tc>
          <w:tcPr>
            <w:tcW w:type="dxa" w:w="31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507 071</w:t>
            </w:r>
          </w:p>
        </w:tc>
        <w:tc>
          <w:tcPr>
            <w:tcW w:type="dxa" w:w="31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188 175</w:t>
            </w:r>
          </w:p>
        </w:tc>
      </w:tr>
      <w:tr>
        <w:tc>
          <w:tcPr>
            <w:tcW w:type="dxa" w:w="312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Alertes labellisées</w:t>
            </w:r>
          </w:p>
        </w:tc>
        <w:tc>
          <w:tcPr>
            <w:tcW w:type="dxa" w:w="312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769</w:t>
            </w:r>
          </w:p>
        </w:tc>
        <w:tc>
          <w:tcPr>
            <w:tcW w:type="dxa" w:w="312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612</w:t>
            </w:r>
          </w:p>
        </w:tc>
      </w:tr>
      <w:tr>
        <w:tc>
          <w:tcPr>
            <w:tcW w:type="dxa" w:w="31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Éclairs en alerte (CG)</w:t>
            </w:r>
          </w:p>
        </w:tc>
        <w:tc>
          <w:tcPr>
            <w:tcW w:type="dxa" w:w="31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56 599</w:t>
            </w:r>
          </w:p>
        </w:tc>
        <w:tc>
          <w:tcPr>
            <w:tcW w:type="dxa" w:w="31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18 010</w:t>
            </w:r>
          </w:p>
        </w:tc>
      </w:tr>
      <w:tr>
        <w:tc>
          <w:tcPr>
            <w:tcW w:type="dxa" w:w="312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Aéroports</w:t>
            </w:r>
          </w:p>
        </w:tc>
        <w:tc>
          <w:tcPr>
            <w:tcW w:type="dxa" w:w="3573"/>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5 (Ajaccio, Bastia, Biarritz, Nantes, Pise)</w:t>
            </w:r>
          </w:p>
        </w:tc>
        <w:tc>
          <w:tcPr>
            <w:tcW w:type="dxa" w:w="312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
            </w:r>
          </w:p>
        </w:tc>
      </w:tr>
    </w:tbl>
    <w:p>
      <w:pPr>
        <w:spacing w:after="160"/>
      </w:pPr>
    </w:p>
    <w:p>
      <w:pPr>
        <w:pStyle w:val="Heading2"/>
        <w:spacing w:after="160" w:before="300"/>
      </w:pPr>
      <w:r>
        <w:rPr>
          <w:rFonts w:ascii="Arial" w:cs="Arial" w:eastAsia="Arial" w:hAnsi="Arial"/>
          <w:b/>
          <w:bCs/>
          <w:color w:val="2F5496"/>
          <w:sz w:val="26"/>
          <w:szCs w:val="26"/>
        </w:rPr>
        <w:t xml:space="preserve">1.3 Déséquilibre des classes</w:t>
      </w:r>
    </w:p>
    <w:p>
      <w:pPr>
        <w:spacing w:after="140"/>
        <w:jc w:val="both"/>
      </w:pPr>
      <w:r>
        <w:rPr>
          <w:rFonts w:ascii="Arial" w:cs="Arial" w:eastAsia="Arial" w:hAnsi="Arial"/>
          <w:sz w:val="22"/>
          <w:szCs w:val="22"/>
        </w:rPr>
        <w:t xml:space="preserve">La variable cible est fortement déséquilibrée : parmi les 56 599 éclairs CG labellisés en entraînement, seulement 2 627 sont le dernier éclair d'une alerte (classe positive), soit 4,64 %. Ce déséquilibre constitue le principal défi du projet et guide les choix méthodologiques.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gridSpan w:val="1"/>
            <w:tcBorders>
              <w:top w:val="single" w:color="2E75B6" w:sz="4"/>
              <w:left w:val="single" w:color="2E75B6" w:sz="4"/>
              <w:bottom w:val="single" w:color="2E75B6" w:sz="4"/>
              <w:right w:val="single" w:color="2E75B6" w:sz="4"/>
            </w:tcBorders>
            <w:shd w:fill="1F3864" w:val="clear"/>
            <w:tcMar>
              <w:top w:type="dxa" w:w="80"/>
              <w:left w:type="dxa" w:w="160"/>
              <w:bottom w:type="dxa" w:w="80"/>
              <w:right w:type="dxa" w:w="160"/>
            </w:tcMar>
          </w:tcPr>
          <w:p>
            <w:r>
              <w:rPr>
                <w:rFonts w:ascii="Arial" w:cs="Arial" w:eastAsia="Arial" w:hAnsi="Arial"/>
                <w:b/>
                <w:bCs/>
                <w:color w:val="FFFFFF"/>
                <w:sz w:val="21"/>
                <w:szCs w:val="21"/>
              </w:rPr>
              <w:t xml:space="preserve">Déséquilibre de la cible</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Classe 0 — Non-dernier éclair :  53 972 exemples  (95.36 %)</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Classe 1 — Dernier éclair CG  :   2 627 exemples  ( 4.64 %)</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Ratio  :  1 positif pour ~20 négatifs</w:t>
            </w:r>
          </w:p>
        </w:tc>
      </w:tr>
    </w:tbl>
    <w:p>
      <w:pPr>
        <w:spacing w:after="200"/>
      </w:pPr>
    </w:p>
    <w:p>
      <w:r>
        <w:br w:type="page"/>
      </w:r>
    </w:p>
    <w:p>
      <w:pPr>
        <w:pStyle w:val="Heading1"/>
        <w:spacing w:after="200" w:before="360"/>
      </w:pPr>
      <w:r>
        <w:rPr>
          <w:rFonts w:ascii="Arial" w:cs="Arial" w:eastAsia="Arial" w:hAnsi="Arial"/>
          <w:b/>
          <w:bCs/>
          <w:color w:val="1F3864"/>
          <w:sz w:val="32"/>
          <w:szCs w:val="32"/>
        </w:rPr>
        <w:t xml:space="preserve">2. Analyse exploratoire des données (EDA)</w:t>
      </w:r>
    </w:p>
    <w:p>
      <w:pPr>
        <w:pBdr>
          <w:bottom w:val="single" w:color="2E75B6" w:sz="8" w:space="1"/>
        </w:pBdr>
        <w:spacing w:after="120"/>
      </w:pPr>
    </w:p>
    <w:p>
      <w:pPr>
        <w:pStyle w:val="Heading2"/>
        <w:spacing w:after="160" w:before="300"/>
      </w:pPr>
      <w:r>
        <w:rPr>
          <w:rFonts w:ascii="Arial" w:cs="Arial" w:eastAsia="Arial" w:hAnsi="Arial"/>
          <w:b/>
          <w:bCs/>
          <w:color w:val="2F5496"/>
          <w:sz w:val="26"/>
          <w:szCs w:val="26"/>
        </w:rPr>
        <w:t xml:space="preserve">2.1 Caractéristiques par aéroport</w:t>
      </w:r>
    </w:p>
    <w:p>
      <w:pPr>
        <w:spacing w:after="140"/>
        <w:jc w:val="both"/>
      </w:pPr>
      <w:r>
        <w:rPr>
          <w:rFonts w:ascii="Arial" w:cs="Arial" w:eastAsia="Arial" w:hAnsi="Arial"/>
          <w:sz w:val="22"/>
          <w:szCs w:val="22"/>
        </w:rPr>
        <w:t xml:space="preserve">Les cinq aéroports présentent des profils très différents, reflétant leurs conditions géographiques et climatiques respectives.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360"/>
        <w:gridCol w:w="1360"/>
        <w:gridCol w:w="1360"/>
        <w:gridCol w:w="1360"/>
        <w:gridCol w:w="1360"/>
        <w:gridCol w:w="1800"/>
      </w:tblGrid>
      <w:tr>
        <w:tc>
          <w:tcPr>
            <w:tcW w:type="dxa" w:w="176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Aéroport</w:t>
            </w:r>
          </w:p>
        </w:tc>
        <w:tc>
          <w:tcPr>
            <w:tcW w:type="dxa" w:w="136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Éclairs</w:t>
            </w:r>
          </w:p>
        </w:tc>
        <w:tc>
          <w:tcPr>
            <w:tcW w:type="dxa" w:w="136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CG</w:t>
            </w:r>
          </w:p>
        </w:tc>
        <w:tc>
          <w:tcPr>
            <w:tcW w:type="dxa" w:w="136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IC</w:t>
            </w:r>
          </w:p>
        </w:tc>
        <w:tc>
          <w:tcPr>
            <w:tcW w:type="dxa" w:w="136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Alertes</w:t>
            </w:r>
          </w:p>
        </w:tc>
        <w:tc>
          <w:tcPr>
            <w:tcW w:type="dxa" w:w="136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Dur. moy (min)</w:t>
            </w:r>
          </w:p>
        </w:tc>
        <w:tc>
          <w:tcPr>
            <w:tcW w:type="dxa" w:w="18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Dist. moy (km)</w:t>
            </w:r>
          </w:p>
        </w:tc>
      </w:tr>
      <w:tr>
        <w:tc>
          <w:tcPr>
            <w:tcW w:type="dxa" w:w="17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Ajaccio</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138 622</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40 821</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97 801</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530</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28.4</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19.8</w:t>
            </w:r>
          </w:p>
        </w:tc>
      </w:tr>
      <w:tr>
        <w:tc>
          <w:tcPr>
            <w:tcW w:type="dxa" w:w="17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Bastia</w:t>
            </w:r>
          </w:p>
        </w:tc>
        <w:tc>
          <w:tcPr>
            <w:tcW w:type="dxa" w:w="1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101 344</w:t>
            </w:r>
          </w:p>
        </w:tc>
        <w:tc>
          <w:tcPr>
            <w:tcW w:type="dxa" w:w="1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29 012</w:t>
            </w:r>
          </w:p>
        </w:tc>
        <w:tc>
          <w:tcPr>
            <w:tcW w:type="dxa" w:w="1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72 332</w:t>
            </w:r>
          </w:p>
        </w:tc>
        <w:tc>
          <w:tcPr>
            <w:tcW w:type="dxa" w:w="1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532</w:t>
            </w:r>
          </w:p>
        </w:tc>
        <w:tc>
          <w:tcPr>
            <w:tcW w:type="dxa" w:w="1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27.6</w:t>
            </w:r>
          </w:p>
        </w:tc>
        <w:tc>
          <w:tcPr>
            <w:tcW w:type="dxa" w:w="18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20.1</w:t>
            </w:r>
          </w:p>
        </w:tc>
      </w:tr>
      <w:tr>
        <w:tc>
          <w:tcPr>
            <w:tcW w:type="dxa" w:w="17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Biarritz</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112 058</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33 901</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78 157</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590</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31.2</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20.4</w:t>
            </w:r>
          </w:p>
        </w:tc>
      </w:tr>
      <w:tr>
        <w:tc>
          <w:tcPr>
            <w:tcW w:type="dxa" w:w="17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Nantes</w:t>
            </w:r>
          </w:p>
        </w:tc>
        <w:tc>
          <w:tcPr>
            <w:tcW w:type="dxa" w:w="1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81 003</w:t>
            </w:r>
          </w:p>
        </w:tc>
        <w:tc>
          <w:tcPr>
            <w:tcW w:type="dxa" w:w="1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24 810</w:t>
            </w:r>
          </w:p>
        </w:tc>
        <w:tc>
          <w:tcPr>
            <w:tcW w:type="dxa" w:w="1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56 193</w:t>
            </w:r>
          </w:p>
        </w:tc>
        <w:tc>
          <w:tcPr>
            <w:tcW w:type="dxa" w:w="1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206</w:t>
            </w:r>
          </w:p>
        </w:tc>
        <w:tc>
          <w:tcPr>
            <w:tcW w:type="dxa" w:w="13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30.1</w:t>
            </w:r>
          </w:p>
        </w:tc>
        <w:tc>
          <w:tcPr>
            <w:tcW w:type="dxa" w:w="18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20.0</w:t>
            </w:r>
          </w:p>
        </w:tc>
      </w:tr>
      <w:tr>
        <w:tc>
          <w:tcPr>
            <w:tcW w:type="dxa" w:w="17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Pise</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74 044</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22 555</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51 489</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769</w:t>
            </w:r>
          </w:p>
        </w:tc>
        <w:tc>
          <w:tcPr>
            <w:tcW w:type="dxa" w:w="13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30.1</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20.2</w:t>
            </w:r>
          </w:p>
        </w:tc>
      </w:tr>
    </w:tbl>
    <w:p>
      <w:pPr>
        <w:spacing w:after="160"/>
      </w:pPr>
    </w:p>
    <w:p>
      <w:pPr>
        <w:pStyle w:val="Heading2"/>
        <w:spacing w:after="160" w:before="300"/>
      </w:pPr>
      <w:r>
        <w:rPr>
          <w:rFonts w:ascii="Arial" w:cs="Arial" w:eastAsia="Arial" w:hAnsi="Arial"/>
          <w:b/>
          <w:bCs/>
          <w:color w:val="2F5496"/>
          <w:sz w:val="26"/>
          <w:szCs w:val="26"/>
        </w:rPr>
        <w:t xml:space="preserve">2.2 Saisonnalité et patterns temporels</w:t>
      </w:r>
    </w:p>
    <w:p>
      <w:pPr>
        <w:spacing w:after="140"/>
        <w:jc w:val="both"/>
      </w:pPr>
      <w:r>
        <w:rPr>
          <w:rFonts w:ascii="Arial" w:cs="Arial" w:eastAsia="Arial" w:hAnsi="Arial"/>
          <w:sz w:val="22"/>
          <w:szCs w:val="22"/>
        </w:rPr>
        <w:t xml:space="preserve">L'analyse temporelle révèle une forte saisonnalité estivale commune à tous les aéroports, avec un pic d'activité de juin à septembre. Les orages se concentrent en fin d'après-midi et en soirée (14h–20h UTC), cohérent avec la convection thermique diurne.</w:t>
      </w:r>
    </w:p>
    <w:p>
      <w:pPr>
        <w:pStyle w:val="ListParagraph"/>
        <w:numPr>
          <w:ilvl w:val="0"/>
          <w:numId w:val="2"/>
        </w:numPr>
        <w:spacing w:after="100"/>
      </w:pPr>
      <w:r>
        <w:rPr>
          <w:rFonts w:ascii="Arial" w:cs="Arial" w:eastAsia="Arial" w:hAnsi="Arial"/>
          <w:sz w:val="22"/>
          <w:szCs w:val="22"/>
        </w:rPr>
        <w:t xml:space="preserve"> Été (juin–août) : 68 % des éclairs annuels</w:t>
      </w:r>
    </w:p>
    <w:p>
      <w:pPr>
        <w:pStyle w:val="ListParagraph"/>
        <w:numPr>
          <w:ilvl w:val="0"/>
          <w:numId w:val="2"/>
        </w:numPr>
        <w:spacing w:after="100"/>
      </w:pPr>
      <w:r>
        <w:rPr>
          <w:rFonts w:ascii="Arial" w:cs="Arial" w:eastAsia="Arial" w:hAnsi="Arial"/>
          <w:sz w:val="22"/>
          <w:szCs w:val="22"/>
        </w:rPr>
        <w:t xml:space="preserve"> Pic horaire : 14h–18h UTC (convection thermique)</w:t>
      </w:r>
    </w:p>
    <w:p>
      <w:pPr>
        <w:pStyle w:val="ListParagraph"/>
        <w:numPr>
          <w:ilvl w:val="0"/>
          <w:numId w:val="2"/>
        </w:numPr>
        <w:spacing w:after="100"/>
      </w:pPr>
      <w:r>
        <w:rPr>
          <w:rFonts w:ascii="Arial" w:cs="Arial" w:eastAsia="Arial" w:hAnsi="Arial"/>
          <w:sz w:val="22"/>
          <w:szCs w:val="22"/>
        </w:rPr>
        <w:t xml:space="preserve"> Durée médiane d'une alerte : 18 minutes (moyenne : 30 minutes)</w:t>
      </w:r>
    </w:p>
    <w:p>
      <w:pPr>
        <w:pStyle w:val="ListParagraph"/>
        <w:numPr>
          <w:ilvl w:val="0"/>
          <w:numId w:val="2"/>
        </w:numPr>
        <w:spacing w:after="100"/>
      </w:pPr>
      <w:r>
        <w:rPr>
          <w:rFonts w:ascii="Arial" w:cs="Arial" w:eastAsia="Arial" w:hAnsi="Arial"/>
          <w:sz w:val="22"/>
          <w:szCs w:val="22"/>
        </w:rPr>
        <w:t xml:space="preserve"> Nombre médian d'éclairs CG par alerte : 15</w:t>
      </w:r>
    </w:p>
    <w:p>
      <w:pPr>
        <w:spacing w:after="160"/>
      </w:pPr>
    </w:p>
    <w:p>
      <w:pPr>
        <w:pStyle w:val="Heading2"/>
        <w:spacing w:after="160" w:before="300"/>
      </w:pPr>
      <w:r>
        <w:rPr>
          <w:rFonts w:ascii="Arial" w:cs="Arial" w:eastAsia="Arial" w:hAnsi="Arial"/>
          <w:b/>
          <w:bCs/>
          <w:color w:val="2F5496"/>
          <w:sz w:val="26"/>
          <w:szCs w:val="26"/>
        </w:rPr>
        <w:t xml:space="preserve">2.3 Caractéristiques discriminantes du dernier éclair</w:t>
      </w:r>
    </w:p>
    <w:p>
      <w:pPr>
        <w:spacing w:after="140"/>
        <w:jc w:val="both"/>
      </w:pPr>
      <w:r>
        <w:rPr>
          <w:rFonts w:ascii="Arial" w:cs="Arial" w:eastAsia="Arial" w:hAnsi="Arial"/>
          <w:sz w:val="22"/>
          <w:szCs w:val="22"/>
        </w:rPr>
        <w:t xml:space="preserve">La comparaison entre le dernier éclair CG et les éclairs non-terminaux révèle plusieurs signaux prédictifs exploitables :</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Caractéristique</w:t>
            </w:r>
          </w:p>
        </w:tc>
        <w:tc>
          <w:tcPr>
            <w:tcW w:type="dxa" w:w="308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Éclairs normaux</w:t>
            </w:r>
          </w:p>
        </w:tc>
        <w:tc>
          <w:tcPr>
            <w:tcW w:type="dxa" w:w="308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Dernier éclair CG</w:t>
            </w:r>
          </w:p>
        </w:tc>
      </w:tr>
      <w:tr>
        <w:tc>
          <w:tcPr>
            <w:tcW w:type="dxa" w:w="3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Temps inter-éclairs moyen</w:t>
            </w:r>
          </w:p>
        </w:tc>
        <w:tc>
          <w:tcPr>
            <w:tcW w:type="dxa" w:w="308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~45 s</w:t>
            </w:r>
          </w:p>
        </w:tc>
        <w:tc>
          <w:tcPr>
            <w:tcW w:type="dxa" w:w="308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~120 s (+167 %)</w:t>
            </w:r>
          </w:p>
        </w:tc>
      </w:tr>
      <w:tr>
        <w:tc>
          <w:tcPr>
            <w:tcW w:type="dxa" w:w="32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Distance à l'aéroport</w:t>
            </w:r>
          </w:p>
        </w:tc>
        <w:tc>
          <w:tcPr>
            <w:tcW w:type="dxa" w:w="308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20.2 km</w:t>
            </w:r>
          </w:p>
        </w:tc>
        <w:tc>
          <w:tcPr>
            <w:tcW w:type="dxa" w:w="308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22.8 km (+13 %)</w:t>
            </w:r>
          </w:p>
        </w:tc>
      </w:tr>
      <w:tr>
        <w:tc>
          <w:tcPr>
            <w:tcW w:type="dxa" w:w="3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Amplitude |kA| moyenne</w:t>
            </w:r>
          </w:p>
        </w:tc>
        <w:tc>
          <w:tcPr>
            <w:tcW w:type="dxa" w:w="308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12.4 kA</w:t>
            </w:r>
          </w:p>
        </w:tc>
        <w:tc>
          <w:tcPr>
            <w:tcW w:type="dxa" w:w="308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10.1 kA (-19 %)</w:t>
            </w:r>
          </w:p>
        </w:tc>
      </w:tr>
      <w:tr>
        <w:tc>
          <w:tcPr>
            <w:tcW w:type="dxa" w:w="32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Ratio IC / (IC+CG) 5 min</w:t>
            </w:r>
          </w:p>
        </w:tc>
        <w:tc>
          <w:tcPr>
            <w:tcW w:type="dxa" w:w="308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0.78</w:t>
            </w:r>
          </w:p>
        </w:tc>
        <w:tc>
          <w:tcPr>
            <w:tcW w:type="dxa" w:w="308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0.85 (+9 %)</w:t>
            </w:r>
          </w:p>
        </w:tc>
      </w:tr>
      <w:tr>
        <w:tc>
          <w:tcPr>
            <w:tcW w:type="dxa" w:w="3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Densité CG (10 dernières min)</w:t>
            </w:r>
          </w:p>
        </w:tc>
        <w:tc>
          <w:tcPr>
            <w:tcW w:type="dxa" w:w="308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4.2 éclairs/min</w:t>
            </w:r>
          </w:p>
        </w:tc>
        <w:tc>
          <w:tcPr>
            <w:tcW w:type="dxa" w:w="308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0.8 éclairs/min (-81 %)</w:t>
            </w:r>
          </w:p>
        </w:tc>
      </w:tr>
    </w:tbl>
    <w:p>
      <w:pPr>
        <w:spacing w:after="160"/>
      </w:pPr>
    </w:p>
    <w:p>
      <w:pPr>
        <w:spacing w:after="140"/>
        <w:jc w:val="both"/>
      </w:pPr>
      <w:r>
        <w:rPr>
          <w:rFonts w:ascii="Arial" w:cs="Arial" w:eastAsia="Arial" w:hAnsi="Arial"/>
          <w:sz w:val="22"/>
          <w:szCs w:val="22"/>
        </w:rPr>
        <w:t xml:space="preserve">Ces observations confirment les hypothèses physiques : vers la fin d'un orage, l'activité convective diminue, les éclairs s'espacent, l'orage s'éloigne et l'activité intra-nuage devient dominante. Ce sont précisément ces tendances que le modèle apprendra à détecter.</w:t>
      </w:r>
    </w:p>
    <w:p>
      <w:r>
        <w:br w:type="page"/>
      </w:r>
    </w:p>
    <w:p>
      <w:pPr>
        <w:pStyle w:val="Heading1"/>
        <w:spacing w:after="200" w:before="360"/>
      </w:pPr>
      <w:r>
        <w:rPr>
          <w:rFonts w:ascii="Arial" w:cs="Arial" w:eastAsia="Arial" w:hAnsi="Arial"/>
          <w:b/>
          <w:bCs/>
          <w:color w:val="1F3864"/>
          <w:sz w:val="32"/>
          <w:szCs w:val="32"/>
        </w:rPr>
        <w:t xml:space="preserve">3. Feature Engineering</w:t>
      </w:r>
    </w:p>
    <w:p>
      <w:pPr>
        <w:pBdr>
          <w:bottom w:val="single" w:color="2E75B6" w:sz="8" w:space="1"/>
        </w:pBdr>
        <w:spacing w:after="120"/>
      </w:pPr>
    </w:p>
    <w:p>
      <w:pPr>
        <w:spacing w:after="140"/>
        <w:jc w:val="both"/>
      </w:pPr>
      <w:r>
        <w:rPr>
          <w:rFonts w:ascii="Arial" w:cs="Arial" w:eastAsia="Arial" w:hAnsi="Arial"/>
          <w:sz w:val="22"/>
          <w:szCs w:val="22"/>
        </w:rPr>
        <w:t xml:space="preserve">L'ingénierie des variables est la clé du projet. Toutes les features doivent être causales, c'est-à-dire calculées uniquement à partir des informations disponibles au moment t, sans connaissance du futur.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gridSpan w:val="1"/>
            <w:tcBorders>
              <w:top w:val="single" w:color="2E75B6" w:sz="4"/>
              <w:left w:val="single" w:color="2E75B6" w:sz="4"/>
              <w:bottom w:val="single" w:color="2E75B6" w:sz="4"/>
              <w:right w:val="single" w:color="2E75B6" w:sz="4"/>
            </w:tcBorders>
            <w:shd w:fill="C00000" w:val="clear"/>
            <w:tcMar>
              <w:top w:type="dxa" w:w="80"/>
              <w:left w:type="dxa" w:w="160"/>
              <w:bottom w:type="dxa" w:w="80"/>
              <w:right w:type="dxa" w:w="160"/>
            </w:tcMar>
          </w:tcPr>
          <w:p>
            <w:r>
              <w:rPr>
                <w:rFonts w:ascii="Arial" w:cs="Arial" w:eastAsia="Arial" w:hAnsi="Arial"/>
                <w:b/>
                <w:bCs/>
                <w:color w:val="FFFFFF"/>
                <w:sz w:val="21"/>
                <w:szCs w:val="21"/>
              </w:rPr>
              <w:t xml:space="preserve">Règle fondamentale — Pas de fuite de données (data leakage)</w:t>
            </w:r>
          </w:p>
        </w:tc>
      </w:tr>
      <w:tr>
        <w:tc>
          <w:tcPr>
            <w:tcBorders>
              <w:top w:val="none"/>
              <w:left w:val="single" w:color="2E75B6" w:sz="4"/>
              <w:bottom w:val="none"/>
              <w:right w:val="single" w:color="2E75B6" w:sz="4"/>
            </w:tcBorders>
            <w:shd w:fill="FCE4D6" w:val="clear"/>
            <w:tcMar>
              <w:top w:type="dxa" w:w="60"/>
              <w:left w:type="dxa" w:w="160"/>
              <w:bottom w:type="dxa" w:w="60"/>
              <w:right w:type="dxa" w:w="160"/>
            </w:tcMar>
          </w:tcPr>
          <w:p>
            <w:r>
              <w:rPr>
                <w:rFonts w:ascii="Arial" w:cs="Arial" w:eastAsia="Arial" w:hAnsi="Arial"/>
                <w:sz w:val="20"/>
                <w:szCs w:val="20"/>
              </w:rPr>
              <w:t xml:space="preserve">  Interdit : total_in_alert, rel_pos = rank / total, remaining = total - rank - 1</w:t>
            </w:r>
          </w:p>
        </w:tc>
      </w:tr>
      <w:tr>
        <w:tc>
          <w:tcPr>
            <w:tcBorders>
              <w:top w:val="none"/>
              <w:left w:val="single" w:color="2E75B6" w:sz="4"/>
              <w:bottom w:val="none"/>
              <w:right w:val="single" w:color="2E75B6" w:sz="4"/>
            </w:tcBorders>
            <w:shd w:fill="FCE4D6" w:val="clear"/>
            <w:tcMar>
              <w:top w:type="dxa" w:w="60"/>
              <w:left w:type="dxa" w:w="160"/>
              <w:bottom w:type="dxa" w:w="60"/>
              <w:right w:type="dxa" w:w="160"/>
            </w:tcMar>
          </w:tcPr>
          <w:p>
            <w:r>
              <w:rPr>
                <w:rFonts w:ascii="Arial" w:cs="Arial" w:eastAsia="Arial" w:hAnsi="Arial"/>
                <w:sz w:val="20"/>
                <w:szCs w:val="20"/>
              </w:rPr>
              <w:t xml:space="preserve">  Ces features utilisent le nombre FUTUR d'éclairs — inconnu en temps réel.</w:t>
            </w:r>
          </w:p>
        </w:tc>
      </w:tr>
      <w:tr>
        <w:tc>
          <w:tcPr>
            <w:tcBorders>
              <w:top w:val="none"/>
              <w:left w:val="single" w:color="2E75B6" w:sz="4"/>
              <w:bottom w:val="none"/>
              <w:right w:val="single" w:color="2E75B6" w:sz="4"/>
            </w:tcBorders>
            <w:shd w:fill="FCE4D6" w:val="clear"/>
            <w:tcMar>
              <w:top w:type="dxa" w:w="60"/>
              <w:left w:type="dxa" w:w="160"/>
              <w:bottom w:type="dxa" w:w="60"/>
              <w:right w:type="dxa" w:w="160"/>
            </w:tcMar>
          </w:tcPr>
          <w:p>
            <w:r>
              <w:rPr>
                <w:rFonts w:ascii="Arial" w:cs="Arial" w:eastAsia="Arial" w:hAnsi="Arial"/>
                <w:sz w:val="20"/>
                <w:szCs w:val="20"/>
              </w:rPr>
              <w:t xml:space="preserve">  Le modèle ne doit voir que ce qui s'est passé AVANT l'instant courant.</w:t>
            </w:r>
          </w:p>
        </w:tc>
      </w:tr>
    </w:tbl>
    <w:p>
      <w:pPr>
        <w:spacing w:after="160"/>
      </w:pPr>
    </w:p>
    <w:p>
      <w:pPr>
        <w:pStyle w:val="Heading2"/>
        <w:spacing w:after="160" w:before="300"/>
      </w:pPr>
      <w:r>
        <w:rPr>
          <w:rFonts w:ascii="Arial" w:cs="Arial" w:eastAsia="Arial" w:hAnsi="Arial"/>
          <w:b/>
          <w:bCs/>
          <w:color w:val="2F5496"/>
          <w:sz w:val="26"/>
          <w:szCs w:val="26"/>
        </w:rPr>
        <w:t xml:space="preserve">3.1 Catégories de features</w:t>
      </w:r>
    </w:p>
    <w:p>
      <w:pPr>
        <w:pStyle w:val="Heading3"/>
        <w:spacing w:after="120" w:before="240"/>
      </w:pPr>
      <w:r>
        <w:rPr>
          <w:rFonts w:ascii="Arial" w:cs="Arial" w:eastAsia="Arial" w:hAnsi="Arial"/>
          <w:b/>
          <w:bCs/>
          <w:color w:val="2E75B6"/>
          <w:sz w:val="22"/>
          <w:szCs w:val="22"/>
        </w:rPr>
        <w:t xml:space="preserve">A. Position et durée dans l'alerte</w:t>
      </w:r>
    </w:p>
    <w:p>
      <w:pPr>
        <w:pStyle w:val="ListParagraph"/>
        <w:numPr>
          <w:ilvl w:val="0"/>
          <w:numId w:val="2"/>
        </w:numPr>
        <w:spacing w:after="100"/>
      </w:pPr>
      <w:r>
        <w:rPr>
          <w:rFonts w:ascii="Arial" w:cs="Arial" w:eastAsia="Arial" w:hAnsi="Arial"/>
          <w:b/>
          <w:bCs/>
          <w:sz w:val="22"/>
          <w:szCs w:val="22"/>
        </w:rPr>
        <w:t xml:space="preserve"> — Rang de l'éclair courant (nombre d'éclairs CG vus depuis le début)</w:t>
      </w:r>
      <w:r>
        <w:rPr>
          <w:rFonts w:ascii="Arial" w:cs="Arial" w:eastAsia="Arial" w:hAnsi="Arial"/>
          <w:sz w:val="22"/>
          <w:szCs w:val="22"/>
        </w:rPr>
        <w:t xml:space="preserve">rank_cg</w:t>
      </w:r>
    </w:p>
    <w:p>
      <w:pPr>
        <w:pStyle w:val="ListParagraph"/>
        <w:numPr>
          <w:ilvl w:val="0"/>
          <w:numId w:val="2"/>
        </w:numPr>
        <w:spacing w:after="100"/>
      </w:pPr>
      <w:r>
        <w:rPr>
          <w:rFonts w:ascii="Arial" w:cs="Arial" w:eastAsia="Arial" w:hAnsi="Arial"/>
          <w:b/>
          <w:bCs/>
          <w:sz w:val="22"/>
          <w:szCs w:val="22"/>
        </w:rPr>
        <w:t xml:space="preserve"> — Temps écoulé depuis le premier éclair de l'alerte (secondes)</w:t>
      </w:r>
      <w:r>
        <w:rPr>
          <w:rFonts w:ascii="Arial" w:cs="Arial" w:eastAsia="Arial" w:hAnsi="Arial"/>
          <w:sz w:val="22"/>
          <w:szCs w:val="22"/>
        </w:rPr>
        <w:t xml:space="preserve">t_since_start_s</w:t>
      </w:r>
    </w:p>
    <w:p>
      <w:pPr>
        <w:spacing w:after="80"/>
      </w:pPr>
    </w:p>
    <w:p>
      <w:pPr>
        <w:pStyle w:val="Heading3"/>
        <w:spacing w:after="120" w:before="240"/>
      </w:pPr>
      <w:r>
        <w:rPr>
          <w:rFonts w:ascii="Arial" w:cs="Arial" w:eastAsia="Arial" w:hAnsi="Arial"/>
          <w:b/>
          <w:bCs/>
          <w:color w:val="2E75B6"/>
          <w:sz w:val="22"/>
          <w:szCs w:val="22"/>
        </w:rPr>
        <w:t xml:space="preserve">B. Temps inter-éclairs (inter-arrival times)</w:t>
      </w:r>
    </w:p>
    <w:p>
      <w:pPr>
        <w:spacing w:after="140"/>
        <w:jc w:val="both"/>
      </w:pPr>
      <w:r>
        <w:rPr>
          <w:rFonts w:ascii="Arial" w:cs="Arial" w:eastAsia="Arial" w:hAnsi="Arial"/>
          <w:sz w:val="22"/>
          <w:szCs w:val="22"/>
        </w:rPr>
        <w:t xml:space="preserve">Signal le plus discriminant : les éclairs s'espacent vers la fin de l'orage.</w:t>
      </w:r>
    </w:p>
    <w:p>
      <w:pPr>
        <w:pStyle w:val="ListParagraph"/>
        <w:numPr>
          <w:ilvl w:val="0"/>
          <w:numId w:val="2"/>
        </w:numPr>
        <w:spacing w:after="100"/>
      </w:pPr>
      <w:r>
        <w:rPr>
          <w:rFonts w:ascii="Arial" w:cs="Arial" w:eastAsia="Arial" w:hAnsi="Arial"/>
          <w:b/>
          <w:bCs/>
          <w:sz w:val="22"/>
          <w:szCs w:val="22"/>
        </w:rPr>
        <w:t xml:space="preserve"> — Temps depuis l'éclair précédent</w:t>
      </w:r>
      <w:r>
        <w:rPr>
          <w:rFonts w:ascii="Arial" w:cs="Arial" w:eastAsia="Arial" w:hAnsi="Arial"/>
          <w:sz w:val="22"/>
          <w:szCs w:val="22"/>
        </w:rPr>
        <w:t xml:space="preserve">dt_prev_s</w:t>
      </w:r>
    </w:p>
    <w:p>
      <w:pPr>
        <w:pStyle w:val="ListParagraph"/>
        <w:numPr>
          <w:ilvl w:val="0"/>
          <w:numId w:val="2"/>
        </w:numPr>
        <w:spacing w:after="100"/>
      </w:pPr>
      <w:r>
        <w:rPr>
          <w:rFonts w:ascii="Arial" w:cs="Arial" w:eastAsia="Arial" w:hAnsi="Arial"/>
          <w:b/>
          <w:bCs/>
          <w:sz w:val="22"/>
          <w:szCs w:val="22"/>
        </w:rPr>
        <w:t xml:space="preserve"> — Moyenne, max, écart-type sur fenêtre W ∈ {3, 5, 10, 20}</w:t>
      </w:r>
      <w:r>
        <w:rPr>
          <w:rFonts w:ascii="Arial" w:cs="Arial" w:eastAsia="Arial" w:hAnsi="Arial"/>
          <w:sz w:val="22"/>
          <w:szCs w:val="22"/>
        </w:rPr>
        <w:t xml:space="preserve">dt_mean_W, dt_max_W, dt_std_W</w:t>
      </w:r>
    </w:p>
    <w:p>
      <w:pPr>
        <w:pStyle w:val="ListParagraph"/>
        <w:numPr>
          <w:ilvl w:val="0"/>
          <w:numId w:val="2"/>
        </w:numPr>
        <w:spacing w:after="100"/>
      </w:pPr>
      <w:r>
        <w:rPr>
          <w:rFonts w:ascii="Arial" w:cs="Arial" w:eastAsia="Arial" w:hAnsi="Arial"/>
          <w:b/>
          <w:bCs/>
          <w:sz w:val="22"/>
          <w:szCs w:val="22"/>
        </w:rPr>
        <w:t xml:space="preserve"> — Moyenne mobile exponentielle (lissage des spikes)</w:t>
      </w:r>
      <w:r>
        <w:rPr>
          <w:rFonts w:ascii="Arial" w:cs="Arial" w:eastAsia="Arial" w:hAnsi="Arial"/>
          <w:sz w:val="22"/>
          <w:szCs w:val="22"/>
        </w:rPr>
        <w:t xml:space="preserve">dt_ema_W</w:t>
      </w:r>
    </w:p>
    <w:p>
      <w:pPr>
        <w:spacing w:after="80"/>
      </w:pPr>
    </w:p>
    <w:p>
      <w:pPr>
        <w:pStyle w:val="Heading3"/>
        <w:spacing w:after="120" w:before="240"/>
      </w:pPr>
      <w:r>
        <w:rPr>
          <w:rFonts w:ascii="Arial" w:cs="Arial" w:eastAsia="Arial" w:hAnsi="Arial"/>
          <w:b/>
          <w:bCs/>
          <w:color w:val="2E75B6"/>
          <w:sz w:val="22"/>
          <w:szCs w:val="22"/>
        </w:rPr>
        <w:t xml:space="preserve">C. Distance et tendance spatiale</w:t>
      </w:r>
    </w:p>
    <w:p>
      <w:pPr>
        <w:spacing w:after="140"/>
        <w:jc w:val="both"/>
      </w:pPr>
      <w:r>
        <w:rPr>
          <w:rFonts w:ascii="Arial" w:cs="Arial" w:eastAsia="Arial" w:hAnsi="Arial"/>
          <w:sz w:val="22"/>
          <w:szCs w:val="22"/>
        </w:rPr>
        <w:t xml:space="preserve">L'orage s'éloigne vers la fin → tendance positive de la distance.</w:t>
      </w:r>
    </w:p>
    <w:p>
      <w:pPr>
        <w:pStyle w:val="ListParagraph"/>
        <w:numPr>
          <w:ilvl w:val="0"/>
          <w:numId w:val="2"/>
        </w:numPr>
        <w:spacing w:after="100"/>
      </w:pPr>
      <w:r>
        <w:rPr>
          <w:rFonts w:ascii="Arial" w:cs="Arial" w:eastAsia="Arial" w:hAnsi="Arial"/>
          <w:b/>
          <w:bCs/>
          <w:sz w:val="22"/>
          <w:szCs w:val="22"/>
        </w:rPr>
        <w:t xml:space="preserve"> — Distance instantanée</w:t>
      </w:r>
      <w:r>
        <w:rPr>
          <w:rFonts w:ascii="Arial" w:cs="Arial" w:eastAsia="Arial" w:hAnsi="Arial"/>
          <w:sz w:val="22"/>
          <w:szCs w:val="22"/>
        </w:rPr>
        <w:t xml:space="preserve">dist</w:t>
      </w:r>
    </w:p>
    <w:p>
      <w:pPr>
        <w:pStyle w:val="ListParagraph"/>
        <w:numPr>
          <w:ilvl w:val="0"/>
          <w:numId w:val="2"/>
        </w:numPr>
        <w:spacing w:after="100"/>
      </w:pPr>
      <w:r>
        <w:rPr>
          <w:rFonts w:ascii="Arial" w:cs="Arial" w:eastAsia="Arial" w:hAnsi="Arial"/>
          <w:b/>
          <w:bCs/>
          <w:sz w:val="22"/>
          <w:szCs w:val="22"/>
        </w:rPr>
        <w:t xml:space="preserve"> — Distance moyenne glissante</w:t>
      </w:r>
      <w:r>
        <w:rPr>
          <w:rFonts w:ascii="Arial" w:cs="Arial" w:eastAsia="Arial" w:hAnsi="Arial"/>
          <w:sz w:val="22"/>
          <w:szCs w:val="22"/>
        </w:rPr>
        <w:t xml:space="preserve">dist_mean_W</w:t>
      </w:r>
    </w:p>
    <w:p>
      <w:pPr>
        <w:pStyle w:val="ListParagraph"/>
        <w:numPr>
          <w:ilvl w:val="0"/>
          <w:numId w:val="2"/>
        </w:numPr>
        <w:spacing w:after="100"/>
      </w:pPr>
      <w:r>
        <w:rPr>
          <w:rFonts w:ascii="Arial" w:cs="Arial" w:eastAsia="Arial" w:hAnsi="Arial"/>
          <w:b/>
          <w:bCs/>
          <w:sz w:val="22"/>
          <w:szCs w:val="22"/>
        </w:rPr>
        <w:t xml:space="preserve"> — Pente linéaire de la distance sur W éclairs (régression)</w:t>
      </w:r>
      <w:r>
        <w:rPr>
          <w:rFonts w:ascii="Arial" w:cs="Arial" w:eastAsia="Arial" w:hAnsi="Arial"/>
          <w:sz w:val="22"/>
          <w:szCs w:val="22"/>
        </w:rPr>
        <w:t xml:space="preserve">dist_trend_W</w:t>
      </w:r>
    </w:p>
    <w:p>
      <w:pPr>
        <w:spacing w:after="80"/>
      </w:pPr>
    </w:p>
    <w:p>
      <w:pPr>
        <w:pStyle w:val="Heading3"/>
        <w:spacing w:after="120" w:before="240"/>
      </w:pPr>
      <w:r>
        <w:rPr>
          <w:rFonts w:ascii="Arial" w:cs="Arial" w:eastAsia="Arial" w:hAnsi="Arial"/>
          <w:b/>
          <w:bCs/>
          <w:color w:val="2E75B6"/>
          <w:sz w:val="22"/>
          <w:szCs w:val="22"/>
        </w:rPr>
        <w:t xml:space="preserve">D. Amplitude et intensité</w:t>
      </w:r>
    </w:p>
    <w:p>
      <w:pPr>
        <w:pStyle w:val="ListParagraph"/>
        <w:numPr>
          <w:ilvl w:val="0"/>
          <w:numId w:val="2"/>
        </w:numPr>
        <w:spacing w:after="100"/>
      </w:pPr>
      <w:r>
        <w:rPr>
          <w:rFonts w:ascii="Arial" w:cs="Arial" w:eastAsia="Arial" w:hAnsi="Arial"/>
          <w:b/>
          <w:bCs/>
          <w:sz w:val="22"/>
          <w:szCs w:val="22"/>
        </w:rPr>
        <w:t xml:space="preserve"> — Amplitude absolue, signe, courant crête</w:t>
      </w:r>
      <w:r>
        <w:rPr>
          <w:rFonts w:ascii="Arial" w:cs="Arial" w:eastAsia="Arial" w:hAnsi="Arial"/>
          <w:sz w:val="22"/>
          <w:szCs w:val="22"/>
        </w:rPr>
        <w:t xml:space="preserve">amp_abs, amp_sign, maxis</w:t>
      </w:r>
    </w:p>
    <w:p>
      <w:pPr>
        <w:pStyle w:val="ListParagraph"/>
        <w:numPr>
          <w:ilvl w:val="0"/>
          <w:numId w:val="2"/>
        </w:numPr>
        <w:spacing w:after="100"/>
      </w:pPr>
      <w:r>
        <w:rPr>
          <w:rFonts w:ascii="Arial" w:cs="Arial" w:eastAsia="Arial" w:hAnsi="Arial"/>
          <w:b/>
          <w:bCs/>
          <w:sz w:val="22"/>
          <w:szCs w:val="22"/>
        </w:rPr>
        <w:t xml:space="preserve"> — Tendance de l'intensité</w:t>
      </w:r>
      <w:r>
        <w:rPr>
          <w:rFonts w:ascii="Arial" w:cs="Arial" w:eastAsia="Arial" w:hAnsi="Arial"/>
          <w:sz w:val="22"/>
          <w:szCs w:val="22"/>
        </w:rPr>
        <w:t xml:space="preserve">amp_mean_W, amp_trend_W</w:t>
      </w:r>
    </w:p>
    <w:p>
      <w:pPr>
        <w:spacing w:after="80"/>
      </w:pPr>
    </w:p>
    <w:p>
      <w:pPr>
        <w:pStyle w:val="Heading3"/>
        <w:spacing w:after="120" w:before="240"/>
      </w:pPr>
      <w:r>
        <w:rPr>
          <w:rFonts w:ascii="Arial" w:cs="Arial" w:eastAsia="Arial" w:hAnsi="Arial"/>
          <w:b/>
          <w:bCs/>
          <w:color w:val="2E75B6"/>
          <w:sz w:val="22"/>
          <w:szCs w:val="22"/>
        </w:rPr>
        <w:t xml:space="preserve">E. Densité d'activité temporelle (NOUVEAU)</w:t>
      </w:r>
    </w:p>
    <w:p>
      <w:pPr>
        <w:spacing w:after="140"/>
        <w:jc w:val="both"/>
      </w:pPr>
      <w:r>
        <w:rPr>
          <w:rFonts w:ascii="Arial" w:cs="Arial" w:eastAsia="Arial" w:hAnsi="Arial"/>
          <w:sz w:val="22"/>
          <w:szCs w:val="22"/>
        </w:rPr>
        <w:t xml:space="preserve">Compte le nombre d'éclairs CG dans les N dernières minutes : indicateur de ralentissement.</w:t>
      </w:r>
    </w:p>
    <w:p>
      <w:pPr>
        <w:pStyle w:val="ListParagraph"/>
        <w:numPr>
          <w:ilvl w:val="0"/>
          <w:numId w:val="2"/>
        </w:numPr>
        <w:spacing w:after="100"/>
      </w:pPr>
      <w:r>
        <w:rPr>
          <w:rFonts w:ascii="Arial" w:cs="Arial" w:eastAsia="Arial" w:hAnsi="Arial"/>
          <w:sz w:val="22"/>
          <w:szCs w:val="22"/>
        </w:rPr>
        <w:t xml:space="preserve">n_cg_2min, n_cg_5min, n_cg_10min, n_cg_15min, n_cg_30min</w:t>
      </w:r>
    </w:p>
    <w:p>
      <w:pPr>
        <w:pStyle w:val="ListParagraph"/>
        <w:numPr>
          <w:ilvl w:val="0"/>
          <w:numId w:val="2"/>
        </w:numPr>
        <w:spacing w:after="100"/>
      </w:pPr>
      <w:r>
        <w:rPr>
          <w:rFonts w:ascii="Arial" w:cs="Arial" w:eastAsia="Arial" w:hAnsi="Arial"/>
          <w:b/>
          <w:bCs/>
          <w:sz w:val="22"/>
          <w:szCs w:val="22"/>
        </w:rPr>
        <w:t xml:space="preserve"> — Ratio n_cg_5min / (n_cg_10min + 1) — mesure le taux de déclin</w:t>
      </w:r>
      <w:r>
        <w:rPr>
          <w:rFonts w:ascii="Arial" w:cs="Arial" w:eastAsia="Arial" w:hAnsi="Arial"/>
          <w:sz w:val="22"/>
          <w:szCs w:val="22"/>
        </w:rPr>
        <w:t xml:space="preserve">rate_decline_cg</w:t>
      </w:r>
    </w:p>
    <w:p>
      <w:pPr>
        <w:spacing w:after="80"/>
      </w:pPr>
    </w:p>
    <w:p>
      <w:pPr>
        <w:pStyle w:val="Heading3"/>
        <w:spacing w:after="120" w:before="240"/>
      </w:pPr>
      <w:r>
        <w:rPr>
          <w:rFonts w:ascii="Arial" w:cs="Arial" w:eastAsia="Arial" w:hAnsi="Arial"/>
          <w:b/>
          <w:bCs/>
          <w:color w:val="2E75B6"/>
          <w:sz w:val="22"/>
          <w:szCs w:val="22"/>
        </w:rPr>
        <w:t xml:space="preserve">F. Contexte intra-nuage (IC) — Innovation majeure</w:t>
      </w:r>
    </w:p>
    <w:p>
      <w:pPr>
        <w:spacing w:after="140"/>
        <w:jc w:val="both"/>
      </w:pPr>
      <w:r>
        <w:rPr>
          <w:rFonts w:ascii="Arial" w:cs="Arial" w:eastAsia="Arial" w:hAnsi="Arial"/>
          <w:sz w:val="22"/>
          <w:szCs w:val="22"/>
        </w:rPr>
        <w:t xml:space="preserve">Les éclairs IC accompagnent tout le cycle de vie de l'orage. Leur diminution précède souvent l'arrêt des éclairs CG. On enrichit chaque éclair CG avec des statistiques sur les IC survenant dans la même fenêtre temporelle.</w:t>
      </w:r>
    </w:p>
    <w:p>
      <w:pPr>
        <w:pStyle w:val="ListParagraph"/>
        <w:numPr>
          <w:ilvl w:val="0"/>
          <w:numId w:val="2"/>
        </w:numPr>
        <w:spacing w:after="100"/>
      </w:pPr>
      <w:r>
        <w:rPr>
          <w:rFonts w:ascii="Arial" w:cs="Arial" w:eastAsia="Arial" w:hAnsi="Arial"/>
          <w:b/>
          <w:bCs/>
          <w:sz w:val="22"/>
          <w:szCs w:val="22"/>
        </w:rPr>
        <w:t xml:space="preserve"> — Nb d'éclairs IC dans la fenêtre</w:t>
      </w:r>
      <w:r>
        <w:rPr>
          <w:rFonts w:ascii="Arial" w:cs="Arial" w:eastAsia="Arial" w:hAnsi="Arial"/>
          <w:sz w:val="22"/>
          <w:szCs w:val="22"/>
        </w:rPr>
        <w:t xml:space="preserve">n_ic_2min, n_ic_5min, n_ic_10min, n_ic_30min</w:t>
      </w:r>
    </w:p>
    <w:p>
      <w:pPr>
        <w:pStyle w:val="ListParagraph"/>
        <w:numPr>
          <w:ilvl w:val="0"/>
          <w:numId w:val="2"/>
        </w:numPr>
        <w:spacing w:after="100"/>
      </w:pPr>
      <w:r>
        <w:rPr>
          <w:rFonts w:ascii="Arial" w:cs="Arial" w:eastAsia="Arial" w:hAnsi="Arial"/>
          <w:b/>
          <w:bCs/>
          <w:sz w:val="22"/>
          <w:szCs w:val="22"/>
        </w:rPr>
        <w:t xml:space="preserve"> — Nb total d'éclairs (CG + IC)</w:t>
      </w:r>
      <w:r>
        <w:rPr>
          <w:rFonts w:ascii="Arial" w:cs="Arial" w:eastAsia="Arial" w:hAnsi="Arial"/>
          <w:sz w:val="22"/>
          <w:szCs w:val="22"/>
        </w:rPr>
        <w:t xml:space="preserve">n_all_2min, n_all_5min, n_all_10min</w:t>
      </w:r>
    </w:p>
    <w:p>
      <w:pPr>
        <w:pStyle w:val="ListParagraph"/>
        <w:numPr>
          <w:ilvl w:val="0"/>
          <w:numId w:val="2"/>
        </w:numPr>
        <w:spacing w:after="100"/>
      </w:pPr>
      <w:r>
        <w:rPr>
          <w:rFonts w:ascii="Arial" w:cs="Arial" w:eastAsia="Arial" w:hAnsi="Arial"/>
          <w:b/>
          <w:bCs/>
          <w:sz w:val="22"/>
          <w:szCs w:val="22"/>
        </w:rPr>
        <w:t xml:space="preserve"> — Rapport IC/CG (hausse → fin probable)</w:t>
      </w:r>
      <w:r>
        <w:rPr>
          <w:rFonts w:ascii="Arial" w:cs="Arial" w:eastAsia="Arial" w:hAnsi="Arial"/>
          <w:sz w:val="22"/>
          <w:szCs w:val="22"/>
        </w:rPr>
        <w:t xml:space="preserve">ratio_ic_cg_5min, ratio_ic_cg_10min</w:t>
      </w:r>
    </w:p>
    <w:p>
      <w:pPr>
        <w:pStyle w:val="ListParagraph"/>
        <w:numPr>
          <w:ilvl w:val="0"/>
          <w:numId w:val="2"/>
        </w:numPr>
        <w:spacing w:after="100"/>
      </w:pPr>
      <w:r>
        <w:rPr>
          <w:rFonts w:ascii="Arial" w:cs="Arial" w:eastAsia="Arial" w:hAnsi="Arial"/>
          <w:b/>
          <w:bCs/>
          <w:sz w:val="22"/>
          <w:szCs w:val="22"/>
        </w:rPr>
        <w:t xml:space="preserve"> — Tendance de l'activité IC</w:t>
      </w:r>
      <w:r>
        <w:rPr>
          <w:rFonts w:ascii="Arial" w:cs="Arial" w:eastAsia="Arial" w:hAnsi="Arial"/>
          <w:sz w:val="22"/>
          <w:szCs w:val="22"/>
        </w:rPr>
        <w:t xml:space="preserve">ic_trend</w:t>
      </w:r>
    </w:p>
    <w:p>
      <w:pPr>
        <w:pStyle w:val="ListParagraph"/>
        <w:numPr>
          <w:ilvl w:val="0"/>
          <w:numId w:val="2"/>
        </w:numPr>
        <w:spacing w:after="100"/>
      </w:pPr>
      <w:r>
        <w:rPr>
          <w:rFonts w:ascii="Arial" w:cs="Arial" w:eastAsia="Arial" w:hAnsi="Arial"/>
          <w:b/>
          <w:bCs/>
          <w:sz w:val="22"/>
          <w:szCs w:val="22"/>
        </w:rPr>
        <w:t xml:space="preserve"> — Déclin de l'activité totale</w:t>
      </w:r>
      <w:r>
        <w:rPr>
          <w:rFonts w:ascii="Arial" w:cs="Arial" w:eastAsia="Arial" w:hAnsi="Arial"/>
          <w:sz w:val="22"/>
          <w:szCs w:val="22"/>
        </w:rPr>
        <w:t xml:space="preserve">activity_decline</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Version</w:t>
            </w:r>
          </w:p>
        </w:tc>
        <w:tc>
          <w:tcPr>
            <w:tcW w:type="dxa" w:w="576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Nb features</w:t>
            </w:r>
          </w:p>
        </w:tc>
      </w:tr>
      <w:tr>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V2 — Base (sans leakage)</w:t>
            </w:r>
          </w:p>
        </w:tc>
        <w:tc>
          <w:tcPr>
            <w:tcW w:type="dxa" w:w="57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36 features — uniquement CG intra-alerte</w:t>
            </w:r>
          </w:p>
        </w:tc>
      </w:tr>
      <w:tr>
        <w:tc>
          <w:tcPr>
            <w:tcW w:type="dxa" w:w="36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V3 — Avec contexte IC</w:t>
            </w:r>
          </w:p>
        </w:tc>
        <w:tc>
          <w:tcPr>
            <w:tcW w:type="dxa" w:w="57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58 features — CG + IC contexte (13 nouvelles features IC)</w:t>
            </w:r>
          </w:p>
        </w:tc>
      </w:tr>
      <w:tr>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Par aéroport</w:t>
            </w:r>
          </w:p>
        </w:tc>
        <w:tc>
          <w:tcPr>
            <w:tcW w:type="dxa" w:w="57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57 features — identiques V3 sans encodage aéroport</w:t>
            </w:r>
          </w:p>
        </w:tc>
      </w:tr>
    </w:tbl>
    <w:p>
      <w:r>
        <w:br w:type="page"/>
      </w:r>
    </w:p>
    <w:p>
      <w:pPr>
        <w:pStyle w:val="Heading1"/>
        <w:spacing w:after="200" w:before="360"/>
      </w:pPr>
      <w:r>
        <w:rPr>
          <w:rFonts w:ascii="Arial" w:cs="Arial" w:eastAsia="Arial" w:hAnsi="Arial"/>
          <w:b/>
          <w:bCs/>
          <w:color w:val="1F3864"/>
          <w:sz w:val="32"/>
          <w:szCs w:val="32"/>
        </w:rPr>
        <w:t xml:space="preserve">4. Modélisation</w:t>
      </w:r>
    </w:p>
    <w:p>
      <w:pPr>
        <w:pBdr>
          <w:bottom w:val="single" w:color="2E75B6" w:sz="8" w:space="1"/>
        </w:pBdr>
        <w:spacing w:after="120"/>
      </w:pPr>
    </w:p>
    <w:p>
      <w:pPr>
        <w:pStyle w:val="Heading2"/>
        <w:spacing w:after="160" w:before="300"/>
      </w:pPr>
      <w:r>
        <w:rPr>
          <w:rFonts w:ascii="Arial" w:cs="Arial" w:eastAsia="Arial" w:hAnsi="Arial"/>
          <w:b/>
          <w:bCs/>
          <w:color w:val="2F5496"/>
          <w:sz w:val="26"/>
          <w:szCs w:val="26"/>
        </w:rPr>
        <w:t xml:space="preserve">4.1 Choix du modèle — LightGBM</w:t>
      </w:r>
    </w:p>
    <w:p>
      <w:pPr>
        <w:spacing w:after="140"/>
        <w:jc w:val="both"/>
      </w:pPr>
      <w:r>
        <w:rPr>
          <w:rFonts w:ascii="Arial" w:cs="Arial" w:eastAsia="Arial" w:hAnsi="Arial"/>
          <w:sz w:val="22"/>
          <w:szCs w:val="22"/>
        </w:rPr>
        <w:t xml:space="preserve">LightGBM (Light Gradient Boosting Machine) a été retenu pour sa combinaison de performance, vitesse et gestion native des déséquilibres de classes. C'est l'algorithme de référence pour les données tabulaires structurées.</w:t>
      </w:r>
    </w:p>
    <w:p>
      <w:pPr>
        <w:pStyle w:val="ListParagraph"/>
        <w:numPr>
          <w:ilvl w:val="0"/>
          <w:numId w:val="2"/>
        </w:numPr>
        <w:spacing w:after="100"/>
      </w:pPr>
      <w:r>
        <w:rPr>
          <w:rFonts w:ascii="Arial" w:cs="Arial" w:eastAsia="Arial" w:hAnsi="Arial"/>
          <w:sz w:val="22"/>
          <w:szCs w:val="22"/>
        </w:rPr>
        <w:t xml:space="preserve"> Gestion du déséquilibre via class_weight='balanced'</w:t>
      </w:r>
    </w:p>
    <w:p>
      <w:pPr>
        <w:pStyle w:val="ListParagraph"/>
        <w:numPr>
          <w:ilvl w:val="0"/>
          <w:numId w:val="2"/>
        </w:numPr>
        <w:spacing w:after="100"/>
      </w:pPr>
      <w:r>
        <w:rPr>
          <w:rFonts w:ascii="Arial" w:cs="Arial" w:eastAsia="Arial" w:hAnsi="Arial"/>
          <w:sz w:val="22"/>
          <w:szCs w:val="22"/>
        </w:rPr>
        <w:t xml:space="preserve"> Robustesse aux valeurs manquantes et outliers</w:t>
      </w:r>
    </w:p>
    <w:p>
      <w:pPr>
        <w:pStyle w:val="ListParagraph"/>
        <w:numPr>
          <w:ilvl w:val="0"/>
          <w:numId w:val="2"/>
        </w:numPr>
        <w:spacing w:after="100"/>
      </w:pPr>
      <w:r>
        <w:rPr>
          <w:rFonts w:ascii="Arial" w:cs="Arial" w:eastAsia="Arial" w:hAnsi="Arial"/>
          <w:sz w:val="22"/>
          <w:szCs w:val="22"/>
        </w:rPr>
        <w:t xml:space="preserve"> Hyperparamètres : n_estimators=800, lr=0.03, max_depth=7, num_leaves=127</w:t>
      </w:r>
    </w:p>
    <w:p>
      <w:pPr>
        <w:spacing w:after="160"/>
      </w:pPr>
    </w:p>
    <w:p>
      <w:pPr>
        <w:pStyle w:val="Heading2"/>
        <w:spacing w:after="160" w:before="300"/>
      </w:pPr>
      <w:r>
        <w:rPr>
          <w:rFonts w:ascii="Arial" w:cs="Arial" w:eastAsia="Arial" w:hAnsi="Arial"/>
          <w:b/>
          <w:bCs/>
          <w:color w:val="2F5496"/>
          <w:sz w:val="26"/>
          <w:szCs w:val="26"/>
        </w:rPr>
        <w:t xml:space="preserve">4.2 Protocole de validation — GroupKFold</w:t>
      </w:r>
    </w:p>
    <w:p>
      <w:pPr>
        <w:spacing w:after="140"/>
        <w:jc w:val="both"/>
      </w:pPr>
      <w:r>
        <w:rPr>
          <w:rFonts w:ascii="Arial" w:cs="Arial" w:eastAsia="Arial" w:hAnsi="Arial"/>
          <w:sz w:val="22"/>
          <w:szCs w:val="22"/>
        </w:rPr>
        <w:t xml:space="preserve">Pour éviter toute contamination entre train et validation, la cross-validation est effectuée par alerte (GroupKFold, k=5). Chaque fold contient des alertes complètes non partagées avec les autres folds, simulant fidèlement la prédiction sur de nouvelles alertes inconnues.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gridSpan w:val="1"/>
            <w:tcBorders>
              <w:top w:val="single" w:color="2E75B6" w:sz="4"/>
              <w:left w:val="single" w:color="2E75B6" w:sz="4"/>
              <w:bottom w:val="single" w:color="2E75B6" w:sz="4"/>
              <w:right w:val="single" w:color="2E75B6" w:sz="4"/>
            </w:tcBorders>
            <w:shd w:fill="1F3864" w:val="clear"/>
            <w:tcMar>
              <w:top w:type="dxa" w:w="80"/>
              <w:left w:type="dxa" w:w="160"/>
              <w:bottom w:type="dxa" w:w="80"/>
              <w:right w:type="dxa" w:w="160"/>
            </w:tcMar>
          </w:tcPr>
          <w:p>
            <w:r>
              <w:rPr>
                <w:rFonts w:ascii="Arial" w:cs="Arial" w:eastAsia="Arial" w:hAnsi="Arial"/>
                <w:b/>
                <w:bCs/>
                <w:color w:val="FFFFFF"/>
                <w:sz w:val="21"/>
                <w:szCs w:val="21"/>
              </w:rPr>
              <w:t xml:space="preserve">Pourquoi GroupKFold et non KFold standard ?</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KFold standard : les éclairs d'une même alerte peuvent se retrouver</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dans train ET validation → surestimation des performances (leakage temporel).</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GroupKFold : une alerte entière est soit dans train, soit dans validation.</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Les scores reflètent la généralisation sur des alertes jamais vues.</w:t>
            </w:r>
          </w:p>
        </w:tc>
      </w:tr>
    </w:tbl>
    <w:p>
      <w:pPr>
        <w:spacing w:after="160"/>
      </w:pPr>
    </w:p>
    <w:p>
      <w:pPr>
        <w:pStyle w:val="Heading2"/>
        <w:spacing w:after="160" w:before="300"/>
      </w:pPr>
      <w:r>
        <w:rPr>
          <w:rFonts w:ascii="Arial" w:cs="Arial" w:eastAsia="Arial" w:hAnsi="Arial"/>
          <w:b/>
          <w:bCs/>
          <w:color w:val="2F5496"/>
          <w:sz w:val="26"/>
          <w:szCs w:val="26"/>
        </w:rPr>
        <w:t xml:space="preserve">4.3 Objectif d'optimisation — Précision et Recall</w:t>
      </w:r>
    </w:p>
    <w:p>
      <w:pPr>
        <w:spacing w:after="140"/>
        <w:jc w:val="both"/>
      </w:pPr>
      <w:r>
        <w:rPr>
          <w:rFonts w:ascii="Arial" w:cs="Arial" w:eastAsia="Arial" w:hAnsi="Arial"/>
          <w:sz w:val="22"/>
          <w:szCs w:val="22"/>
        </w:rPr>
        <w:t xml:space="preserve">Dans le contexte de ce problème, les deux critères sont essentiels et complémentaires :</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Terme</w:t>
            </w:r>
          </w:p>
        </w:tc>
        <w:tc>
          <w:tcPr>
            <w:tcW w:type="dxa" w:w="368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Définition</w:t>
            </w:r>
          </w:p>
        </w:tc>
        <w:tc>
          <w:tcPr>
            <w:tcW w:type="dxa" w:w="368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Impact opérationnel</w:t>
            </w:r>
          </w:p>
        </w:tc>
      </w:tr>
      <w:tr>
        <w:tc>
          <w:tcPr>
            <w:tcW w:type="dxa" w:w="20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Vrai Positif (TP)</w:t>
            </w:r>
          </w:p>
        </w:tc>
        <w:tc>
          <w:tcPr>
            <w:tcW w:type="dxa" w:w="368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On détecte le vrai dernier éclair</w:t>
            </w:r>
          </w:p>
        </w:tc>
        <w:tc>
          <w:tcPr>
            <w:tcW w:type="dxa" w:w="3680"/>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Alerte levée au bon moment → GAIN</w:t>
            </w:r>
          </w:p>
        </w:tc>
      </w:tr>
      <w:tr>
        <w:tc>
          <w:tcPr>
            <w:tcW w:type="dxa" w:w="20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Faux Positif (FP)</w:t>
            </w:r>
          </w:p>
        </w:tc>
        <w:tc>
          <w:tcPr>
            <w:tcW w:type="dxa" w:w="368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On croit que c'est le dernier, mais il y en a d'autres</w:t>
            </w:r>
          </w:p>
        </w:tc>
        <w:tc>
          <w:tcPr>
            <w:tcW w:type="dxa" w:w="3680"/>
            <w:tcBorders>
              <w:top w:val="single" w:color="D0D0D0" w:sz="2"/>
              <w:left w:val="single" w:color="D0D0D0" w:sz="2"/>
              <w:bottom w:val="single" w:color="D0D0D0" w:sz="2"/>
              <w:right w:val="single" w:color="D0D0D0" w:sz="2"/>
            </w:tcBorders>
            <w:shd w:fill="FCE4D6"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Alerte levée trop tôt → DANGER (risque)</w:t>
            </w:r>
          </w:p>
        </w:tc>
      </w:tr>
      <w:tr>
        <w:tc>
          <w:tcPr>
            <w:tcW w:type="dxa" w:w="20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Faux Négatif (FN)</w:t>
            </w:r>
          </w:p>
        </w:tc>
        <w:tc>
          <w:tcPr>
            <w:tcW w:type="dxa" w:w="368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On rate la fin de l'orage</w:t>
            </w:r>
          </w:p>
        </w:tc>
        <w:tc>
          <w:tcPr>
            <w:tcW w:type="dxa" w:w="368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On attend inutilement → perte de gain</w:t>
            </w:r>
          </w:p>
        </w:tc>
      </w:tr>
      <w:tr>
        <w:tc>
          <w:tcPr>
            <w:tcW w:type="dxa" w:w="20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Vrai Négatif (TN)</w:t>
            </w:r>
          </w:p>
        </w:tc>
        <w:tc>
          <w:tcPr>
            <w:tcW w:type="dxa" w:w="368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On maintient l'alerte à juste titre</w:t>
            </w:r>
          </w:p>
        </w:tc>
        <w:tc>
          <w:tcPr>
            <w:tcW w:type="dxa" w:w="368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Sécurité maintenue → normal</w:t>
            </w:r>
          </w:p>
        </w:tc>
      </w:tr>
    </w:tbl>
    <w:p>
      <w:pPr>
        <w:spacing w:after="140"/>
      </w:pPr>
    </w:p>
    <w:p>
      <w:pPr>
        <w:spacing w:after="140"/>
        <w:jc w:val="both"/>
      </w:pPr>
      <w:r>
        <w:rPr>
          <w:rFonts w:ascii="Arial" w:cs="Arial" w:eastAsia="Arial" w:hAnsi="Arial"/>
          <w:sz w:val="22"/>
          <w:szCs w:val="22"/>
        </w:rPr>
        <w:t xml:space="preserve">Le F1-score, moyenne harmonique de la précision et du recall, est la métrique principale d'optimisation du seuil de décision. Le seuil optimal est déterminé sur les prédictions Out-Of-Fold (OOF) pour éviter l'overfitting.</w:t>
      </w:r>
    </w:p>
    <w:p>
      <w:pPr>
        <w:spacing w:after="160"/>
      </w:pPr>
    </w:p>
    <w:p>
      <w:pPr>
        <w:pStyle w:val="Heading2"/>
        <w:spacing w:after="160" w:before="300"/>
      </w:pPr>
      <w:r>
        <w:rPr>
          <w:rFonts w:ascii="Arial" w:cs="Arial" w:eastAsia="Arial" w:hAnsi="Arial"/>
          <w:b/>
          <w:bCs/>
          <w:color w:val="2F5496"/>
          <w:sz w:val="26"/>
          <w:szCs w:val="26"/>
        </w:rPr>
        <w:t xml:space="preserve">4.4 Trois approches testées</w:t>
      </w:r>
    </w:p>
    <w:p>
      <w:pPr>
        <w:pStyle w:val="Heading3"/>
        <w:spacing w:after="120" w:before="240"/>
      </w:pPr>
      <w:r>
        <w:rPr>
          <w:rFonts w:ascii="Arial" w:cs="Arial" w:eastAsia="Arial" w:hAnsi="Arial"/>
          <w:b/>
          <w:bCs/>
          <w:color w:val="2E75B6"/>
          <w:sz w:val="22"/>
          <w:szCs w:val="22"/>
        </w:rPr>
        <w:t xml:space="preserve">Modèle V2 — Base (sans leakage)</w:t>
      </w:r>
    </w:p>
    <w:p>
      <w:pPr>
        <w:spacing w:after="140"/>
        <w:jc w:val="both"/>
      </w:pPr>
      <w:r>
        <w:rPr>
          <w:rFonts w:ascii="Arial" w:cs="Arial" w:eastAsia="Arial" w:hAnsi="Arial"/>
          <w:sz w:val="22"/>
          <w:szCs w:val="22"/>
        </w:rPr>
        <w:t xml:space="preserve">Premier modèle sain, 36 features causales uniquement sur les éclairs CG. Sert de référence pour mesurer les gains apportés par les améliorations.</w:t>
      </w:r>
    </w:p>
    <w:p>
      <w:pPr>
        <w:spacing w:after="80"/>
      </w:pPr>
    </w:p>
    <w:p>
      <w:pPr>
        <w:pStyle w:val="Heading3"/>
        <w:spacing w:after="120" w:before="240"/>
      </w:pPr>
      <w:r>
        <w:rPr>
          <w:rFonts w:ascii="Arial" w:cs="Arial" w:eastAsia="Arial" w:hAnsi="Arial"/>
          <w:b/>
          <w:bCs/>
          <w:color w:val="2E75B6"/>
          <w:sz w:val="22"/>
          <w:szCs w:val="22"/>
        </w:rPr>
        <w:t xml:space="preserve">Modèle V3 — Avec contexte IC</w:t>
      </w:r>
    </w:p>
    <w:p>
      <w:pPr>
        <w:spacing w:after="140"/>
        <w:jc w:val="both"/>
      </w:pPr>
      <w:r>
        <w:rPr>
          <w:rFonts w:ascii="Arial" w:cs="Arial" w:eastAsia="Arial" w:hAnsi="Arial"/>
          <w:sz w:val="22"/>
          <w:szCs w:val="22"/>
        </w:rPr>
        <w:t xml:space="preserve">Enrichissement avec 22 features supplémentaires basées sur les éclairs intra-nuage (IC). L'hypothèse : la diminution de l'activité IC précède l'arrêt des éclairs CG et constitue un signal précoce de fin d'orage.</w:t>
      </w:r>
    </w:p>
    <w:p>
      <w:pPr>
        <w:spacing w:after="80"/>
      </w:pPr>
    </w:p>
    <w:p>
      <w:pPr>
        <w:pStyle w:val="Heading3"/>
        <w:spacing w:after="120" w:before="240"/>
      </w:pPr>
      <w:r>
        <w:rPr>
          <w:rFonts w:ascii="Arial" w:cs="Arial" w:eastAsia="Arial" w:hAnsi="Arial"/>
          <w:b/>
          <w:bCs/>
          <w:color w:val="2E75B6"/>
          <w:sz w:val="22"/>
          <w:szCs w:val="22"/>
        </w:rPr>
        <w:t xml:space="preserve">Modèles par aéroport</w:t>
      </w:r>
    </w:p>
    <w:p>
      <w:pPr>
        <w:spacing w:after="140"/>
        <w:jc w:val="both"/>
      </w:pPr>
      <w:r>
        <w:rPr>
          <w:rFonts w:ascii="Arial" w:cs="Arial" w:eastAsia="Arial" w:hAnsi="Arial"/>
          <w:sz w:val="22"/>
          <w:szCs w:val="22"/>
        </w:rPr>
        <w:t xml:space="preserve">Un modèle LightGBM indépendant est entraîné pour chaque aéroport. Cette approche capture les spécificités locales (topographie, régime météo, saisonnalité propre) que le modèle global lisse nécessairement.</w:t>
      </w:r>
    </w:p>
    <w:p>
      <w:pPr>
        <w:pStyle w:val="ListParagraph"/>
        <w:numPr>
          <w:ilvl w:val="0"/>
          <w:numId w:val="2"/>
        </w:numPr>
        <w:spacing w:after="100"/>
      </w:pPr>
      <w:r>
        <w:rPr>
          <w:rFonts w:ascii="Arial" w:cs="Arial" w:eastAsia="Arial" w:hAnsi="Arial"/>
          <w:sz w:val="22"/>
          <w:szCs w:val="22"/>
        </w:rPr>
        <w:t xml:space="preserve"> Ajaccio / Bastia : orages méditerranéens intenses et courts</w:t>
      </w:r>
    </w:p>
    <w:p>
      <w:pPr>
        <w:pStyle w:val="ListParagraph"/>
        <w:numPr>
          <w:ilvl w:val="0"/>
          <w:numId w:val="2"/>
        </w:numPr>
        <w:spacing w:after="100"/>
      </w:pPr>
      <w:r>
        <w:rPr>
          <w:rFonts w:ascii="Arial" w:cs="Arial" w:eastAsia="Arial" w:hAnsi="Arial"/>
          <w:sz w:val="22"/>
          <w:szCs w:val="22"/>
        </w:rPr>
        <w:t xml:space="preserve"> Biarritz : orages atlantiques, trajectoires ouest-est</w:t>
      </w:r>
    </w:p>
    <w:p>
      <w:pPr>
        <w:pStyle w:val="ListParagraph"/>
        <w:numPr>
          <w:ilvl w:val="0"/>
          <w:numId w:val="2"/>
        </w:numPr>
        <w:spacing w:after="100"/>
      </w:pPr>
      <w:r>
        <w:rPr>
          <w:rFonts w:ascii="Arial" w:cs="Arial" w:eastAsia="Arial" w:hAnsi="Arial"/>
          <w:sz w:val="22"/>
          <w:szCs w:val="22"/>
        </w:rPr>
        <w:t xml:space="preserve"> Nantes : orages continentaux modérés</w:t>
      </w:r>
    </w:p>
    <w:p>
      <w:pPr>
        <w:pStyle w:val="ListParagraph"/>
        <w:numPr>
          <w:ilvl w:val="0"/>
          <w:numId w:val="2"/>
        </w:numPr>
        <w:spacing w:after="100"/>
      </w:pPr>
      <w:r>
        <w:rPr>
          <w:rFonts w:ascii="Arial" w:cs="Arial" w:eastAsia="Arial" w:hAnsi="Arial"/>
          <w:sz w:val="22"/>
          <w:szCs w:val="22"/>
        </w:rPr>
        <w:t xml:space="preserve"> Pise : orages liguriens, fort ratio IC/CG</w:t>
      </w:r>
    </w:p>
    <w:p>
      <w:r>
        <w:br w:type="page"/>
      </w:r>
    </w:p>
    <w:p>
      <w:pPr>
        <w:pStyle w:val="Heading1"/>
        <w:spacing w:after="200" w:before="360"/>
      </w:pPr>
      <w:r>
        <w:rPr>
          <w:rFonts w:ascii="Arial" w:cs="Arial" w:eastAsia="Arial" w:hAnsi="Arial"/>
          <w:b/>
          <w:bCs/>
          <w:color w:val="1F3864"/>
          <w:sz w:val="32"/>
          <w:szCs w:val="32"/>
        </w:rPr>
        <w:t xml:space="preserve">5. Résultats et évaluation</w:t>
      </w:r>
    </w:p>
    <w:p>
      <w:pPr>
        <w:pBdr>
          <w:bottom w:val="single" w:color="2E75B6" w:sz="8" w:space="1"/>
        </w:pBdr>
        <w:spacing w:after="120"/>
      </w:pPr>
    </w:p>
    <w:p>
      <w:pPr>
        <w:pStyle w:val="Heading2"/>
        <w:spacing w:after="160" w:before="300"/>
      </w:pPr>
      <w:r>
        <w:rPr>
          <w:rFonts w:ascii="Arial" w:cs="Arial" w:eastAsia="Arial" w:hAnsi="Arial"/>
          <w:b/>
          <w:bCs/>
          <w:color w:val="2F5496"/>
          <w:sz w:val="26"/>
          <w:szCs w:val="26"/>
        </w:rPr>
        <w:t xml:space="preserve">5.1 Protocole d'évaluation officiel</w:t>
      </w:r>
    </w:p>
    <w:p>
      <w:pPr>
        <w:spacing w:after="140"/>
        <w:jc w:val="both"/>
      </w:pPr>
      <w:r>
        <w:rPr>
          <w:rFonts w:ascii="Arial" w:cs="Arial" w:eastAsia="Arial" w:hAnsi="Arial"/>
          <w:sz w:val="22"/>
          <w:szCs w:val="22"/>
        </w:rPr>
        <w:t xml:space="preserve">Le notebook d'évaluation fourni par Météorage définit deux métriques complémentaires pour juger un modèle en situation opérationnelle :</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gridSpan w:val="1"/>
            <w:tcBorders>
              <w:top w:val="single" w:color="2E75B6" w:sz="4"/>
              <w:left w:val="single" w:color="2E75B6" w:sz="4"/>
              <w:bottom w:val="single" w:color="2E75B6" w:sz="4"/>
              <w:right w:val="single" w:color="2E75B6" w:sz="4"/>
            </w:tcBorders>
            <w:shd w:fill="1F3864" w:val="clear"/>
            <w:tcMar>
              <w:top w:type="dxa" w:w="80"/>
              <w:left w:type="dxa" w:w="160"/>
              <w:bottom w:type="dxa" w:w="80"/>
              <w:right w:type="dxa" w:w="160"/>
            </w:tcMar>
          </w:tcPr>
          <w:p>
            <w:r>
              <w:rPr>
                <w:rFonts w:ascii="Arial" w:cs="Arial" w:eastAsia="Arial" w:hAnsi="Arial"/>
                <w:b/>
                <w:bCs/>
                <w:color w:val="FFFFFF"/>
                <w:sz w:val="21"/>
                <w:szCs w:val="21"/>
              </w:rPr>
              <w:t xml:space="preserve">Protocole d'évaluation — Gain &amp; Risque</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Gain G  = somme des (fin_baseline – fin_prédite) pour chaque alerte</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La fin_baseline = dernier éclair + 30 minutes (règle actuelle)</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Risque R = éclairs dangereux manqués / éclairs dangereux totaux</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Un éclair &lt; 3 km de l'aéroport après la fin prédite = RATÉ</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Contrainte : R &lt; R_accept = 2 %</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Objectif   : maximiser G sous contrainte R &lt; 2 %</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Theta θ = seuil de confiance pour déclarer la fin de l'alerte</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Le θ optimal est celui qui maximise G avec R &lt; 2 %</w:t>
            </w:r>
          </w:p>
        </w:tc>
      </w:tr>
    </w:tbl>
    <w:p>
      <w:pPr>
        <w:spacing w:after="160"/>
      </w:pPr>
    </w:p>
    <w:p>
      <w:pPr>
        <w:pStyle w:val="Heading2"/>
        <w:spacing w:after="160" w:before="300"/>
      </w:pPr>
      <w:r>
        <w:rPr>
          <w:rFonts w:ascii="Arial" w:cs="Arial" w:eastAsia="Arial" w:hAnsi="Arial"/>
          <w:b/>
          <w:bCs/>
          <w:color w:val="2F5496"/>
          <w:sz w:val="26"/>
          <w:szCs w:val="26"/>
        </w:rPr>
        <w:t xml:space="preserve">5.2 Performances — Précision, Recall, F1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32"/>
        <w:gridCol w:w="1432"/>
        <w:gridCol w:w="1432"/>
        <w:gridCol w:w="1432"/>
        <w:gridCol w:w="1432"/>
      </w:tblGrid>
      <w:tr>
        <w:tc>
          <w:tcPr>
            <w:tcW w:type="dxa" w:w="22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Modèle</w:t>
            </w:r>
          </w:p>
        </w:tc>
        <w:tc>
          <w:tcPr>
            <w:tcW w:type="dxa" w:w="1432"/>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AUC</w:t>
            </w:r>
          </w:p>
        </w:tc>
        <w:tc>
          <w:tcPr>
            <w:tcW w:type="dxa" w:w="1432"/>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AP</w:t>
            </w:r>
          </w:p>
        </w:tc>
        <w:tc>
          <w:tcPr>
            <w:tcW w:type="dxa" w:w="1432"/>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F1 optimal</w:t>
            </w:r>
          </w:p>
        </w:tc>
        <w:tc>
          <w:tcPr>
            <w:tcW w:type="dxa" w:w="1432"/>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Précision</w:t>
            </w:r>
          </w:p>
        </w:tc>
        <w:tc>
          <w:tcPr>
            <w:tcW w:type="dxa" w:w="1432"/>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Recall</w:t>
            </w:r>
          </w:p>
        </w:tc>
      </w:tr>
      <w:tr>
        <w:tc>
          <w:tcPr>
            <w:tcW w:type="dxa" w:w="22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V2 — Base</w:t>
            </w:r>
          </w:p>
        </w:tc>
        <w:tc>
          <w:tcPr>
            <w:tcW w:type="dxa" w:w="1432"/>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0.9197</w:t>
            </w:r>
          </w:p>
        </w:tc>
        <w:tc>
          <w:tcPr>
            <w:tcW w:type="dxa" w:w="1432"/>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0.337</w:t>
            </w:r>
          </w:p>
        </w:tc>
        <w:tc>
          <w:tcPr>
            <w:tcW w:type="dxa" w:w="1432"/>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0.395</w:t>
            </w:r>
          </w:p>
        </w:tc>
        <w:tc>
          <w:tcPr>
            <w:tcW w:type="dxa" w:w="1432"/>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0.320</w:t>
            </w:r>
          </w:p>
        </w:tc>
        <w:tc>
          <w:tcPr>
            <w:tcW w:type="dxa" w:w="1432"/>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0.515</w:t>
            </w:r>
          </w:p>
        </w:tc>
      </w:tr>
      <w:tr>
        <w:tc>
          <w:tcPr>
            <w:tcW w:type="dxa" w:w="2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V3 + Contexte IC</w:t>
            </w:r>
          </w:p>
        </w:tc>
        <w:tc>
          <w:tcPr>
            <w:tcW w:type="dxa" w:w="22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0.9328</w:t>
            </w:r>
          </w:p>
        </w:tc>
        <w:tc>
          <w:tcPr>
            <w:tcW w:type="dxa" w:w="1432"/>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0.412</w:t>
            </w:r>
          </w:p>
        </w:tc>
        <w:tc>
          <w:tcPr>
            <w:tcW w:type="dxa" w:w="1432"/>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0.433</w:t>
            </w:r>
          </w:p>
        </w:tc>
        <w:tc>
          <w:tcPr>
            <w:tcW w:type="dxa" w:w="1432"/>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0.375</w:t>
            </w:r>
          </w:p>
        </w:tc>
        <w:tc>
          <w:tcPr>
            <w:tcW w:type="dxa" w:w="1432"/>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0.513</w:t>
            </w:r>
          </w:p>
        </w:tc>
      </w:tr>
      <w:tr>
        <w:tc>
          <w:tcPr>
            <w:tcW w:type="dxa" w:w="2200"/>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left"/>
            </w:pPr>
            <w:r>
              <w:rPr>
                <w:rFonts w:ascii="Arial" w:cs="Arial" w:eastAsia="Arial" w:hAnsi="Arial"/>
                <w:b/>
                <w:bCs/>
                <w:color w:val="000000"/>
                <w:sz w:val="19"/>
                <w:szCs w:val="19"/>
              </w:rPr>
              <w:t xml:space="preserve">Par aéroport</w:t>
            </w:r>
          </w:p>
        </w:tc>
        <w:tc>
          <w:tcPr>
            <w:tcW w:type="dxa" w:w="1432"/>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0.9233</w:t>
            </w:r>
          </w:p>
        </w:tc>
        <w:tc>
          <w:tcPr>
            <w:tcW w:type="dxa" w:w="1432"/>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0.381</w:t>
            </w:r>
          </w:p>
        </w:tc>
        <w:tc>
          <w:tcPr>
            <w:tcW w:type="dxa" w:w="1432"/>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0.418</w:t>
            </w:r>
          </w:p>
        </w:tc>
        <w:tc>
          <w:tcPr>
            <w:tcW w:type="dxa" w:w="1432"/>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0.361</w:t>
            </w:r>
          </w:p>
        </w:tc>
        <w:tc>
          <w:tcPr>
            <w:tcW w:type="dxa" w:w="1432"/>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0.497</w:t>
            </w:r>
          </w:p>
        </w:tc>
      </w:tr>
    </w:tbl>
    <w:p>
      <w:pPr>
        <w:spacing w:after="140"/>
      </w:pPr>
    </w:p>
    <w:p>
      <w:pPr>
        <w:spacing w:after="140"/>
        <w:jc w:val="both"/>
      </w:pPr>
      <w:r>
        <w:rPr>
          <w:rFonts w:ascii="Arial" w:cs="Arial" w:eastAsia="Arial" w:hAnsi="Arial"/>
          <w:sz w:val="22"/>
          <w:szCs w:val="22"/>
        </w:rPr>
        <w:t xml:space="preserve">Le modèle V3 avec contexte IC obtient le meilleur AUC (0.933) et F1 (0.433), avec une précision améliorée de +17 % par rapport à la base (0.375 vs 0.320), confirmant que les features IC réduisent efficacement les faux positifs.</w:t>
      </w:r>
    </w:p>
    <w:p>
      <w:pPr>
        <w:spacing w:after="160"/>
      </w:pPr>
    </w:p>
    <w:p>
      <w:pPr>
        <w:pStyle w:val="Heading2"/>
        <w:spacing w:after="160" w:before="300"/>
      </w:pPr>
      <w:r>
        <w:rPr>
          <w:rFonts w:ascii="Arial" w:cs="Arial" w:eastAsia="Arial" w:hAnsi="Arial"/>
          <w:b/>
          <w:bCs/>
          <w:color w:val="2F5496"/>
          <w:sz w:val="26"/>
          <w:szCs w:val="26"/>
        </w:rPr>
        <w:t xml:space="preserve">5.3 Résultats opérationnels — Gain &amp; Risque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90"/>
        <w:gridCol w:w="1590"/>
        <w:gridCol w:w="1590"/>
        <w:gridCol w:w="1590"/>
        <w:gridCol w:w="1590"/>
      </w:tblGrid>
      <w:tr>
        <w:tc>
          <w:tcPr>
            <w:tcW w:type="dxa" w:w="24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Modèle</w:t>
            </w:r>
          </w:p>
        </w:tc>
        <w:tc>
          <w:tcPr>
            <w:tcW w:type="dxa" w:w="159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Gain (h)</w:t>
            </w:r>
          </w:p>
        </w:tc>
        <w:tc>
          <w:tcPr>
            <w:tcW w:type="dxa" w:w="159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Risque</w:t>
            </w:r>
          </w:p>
        </w:tc>
        <w:tc>
          <w:tcPr>
            <w:tcW w:type="dxa" w:w="159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Theta</w:t>
            </w:r>
          </w:p>
        </w:tc>
        <w:tc>
          <w:tcPr>
            <w:tcW w:type="dxa" w:w="159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vs Baseline</w:t>
            </w:r>
          </w:p>
        </w:tc>
        <w:tc>
          <w:tcPr>
            <w:tcW w:type="dxa" w:w="159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Statut</w:t>
            </w:r>
          </w:p>
        </w:tc>
      </w:tr>
      <w:tr>
        <w:tc>
          <w:tcPr>
            <w:tcW w:type="dxa" w:w="24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Baseline (30 min fixe)</w:t>
            </w:r>
          </w:p>
        </w:tc>
        <w:tc>
          <w:tcPr>
            <w:tcW w:type="dxa" w:w="159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 h</w:t>
            </w:r>
          </w:p>
        </w:tc>
        <w:tc>
          <w:tcPr>
            <w:tcW w:type="dxa" w:w="159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0.00 %</w:t>
            </w:r>
          </w:p>
        </w:tc>
        <w:tc>
          <w:tcPr>
            <w:tcW w:type="dxa" w:w="159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w:t>
            </w:r>
          </w:p>
        </w:tc>
        <w:tc>
          <w:tcPr>
            <w:tcW w:type="dxa" w:w="159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référence</w:t>
            </w:r>
          </w:p>
        </w:tc>
        <w:tc>
          <w:tcPr>
            <w:tcW w:type="dxa" w:w="159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w:t>
            </w:r>
          </w:p>
        </w:tc>
      </w:tr>
      <w:tr>
        <w:tc>
          <w:tcPr>
            <w:tcW w:type="dxa" w:w="2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V2 — Base</w:t>
            </w:r>
          </w:p>
        </w:tc>
        <w:tc>
          <w:tcPr>
            <w:tcW w:type="dxa" w:w="159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80.4 h</w:t>
            </w:r>
          </w:p>
        </w:tc>
        <w:tc>
          <w:tcPr>
            <w:tcW w:type="dxa" w:w="159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0.95 %</w:t>
            </w:r>
          </w:p>
        </w:tc>
        <w:tc>
          <w:tcPr>
            <w:tcW w:type="dxa" w:w="159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0.95</w:t>
            </w:r>
          </w:p>
        </w:tc>
        <w:tc>
          <w:tcPr>
            <w:tcW w:type="dxa" w:w="159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+80.4 h</w:t>
            </w:r>
          </w:p>
        </w:tc>
        <w:tc>
          <w:tcPr>
            <w:tcW w:type="dxa" w:w="1590"/>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 R &lt; 2 %</w:t>
            </w:r>
          </w:p>
        </w:tc>
      </w:tr>
      <w:tr>
        <w:tc>
          <w:tcPr>
            <w:tcW w:type="dxa" w:w="24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V3 + Contexte IC</w:t>
            </w:r>
          </w:p>
        </w:tc>
        <w:tc>
          <w:tcPr>
            <w:tcW w:type="dxa" w:w="159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93.0 h</w:t>
            </w:r>
          </w:p>
        </w:tc>
        <w:tc>
          <w:tcPr>
            <w:tcW w:type="dxa" w:w="159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0.50 %</w:t>
            </w:r>
          </w:p>
        </w:tc>
        <w:tc>
          <w:tcPr>
            <w:tcW w:type="dxa" w:w="159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0.95</w:t>
            </w:r>
          </w:p>
        </w:tc>
        <w:tc>
          <w:tcPr>
            <w:tcW w:type="dxa" w:w="159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+93.0 h</w:t>
            </w:r>
          </w:p>
        </w:tc>
        <w:tc>
          <w:tcPr>
            <w:tcW w:type="dxa" w:w="1590"/>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 R &lt; 2 %</w:t>
            </w:r>
          </w:p>
        </w:tc>
      </w:tr>
      <w:tr>
        <w:tc>
          <w:tcPr>
            <w:tcW w:type="dxa" w:w="2400"/>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left"/>
            </w:pPr>
            <w:r>
              <w:rPr>
                <w:rFonts w:ascii="Arial" w:cs="Arial" w:eastAsia="Arial" w:hAnsi="Arial"/>
                <w:b/>
                <w:bCs/>
                <w:color w:val="000000"/>
                <w:sz w:val="19"/>
                <w:szCs w:val="19"/>
              </w:rPr>
              <w:t xml:space="preserve">Par aéroport</w:t>
            </w:r>
          </w:p>
        </w:tc>
        <w:tc>
          <w:tcPr>
            <w:tcW w:type="dxa" w:w="1590"/>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bCs/>
                <w:color w:val="375623"/>
                <w:sz w:val="19"/>
                <w:szCs w:val="19"/>
              </w:rPr>
              <w:t xml:space="preserve">213.8 h</w:t>
            </w:r>
          </w:p>
        </w:tc>
        <w:tc>
          <w:tcPr>
            <w:tcW w:type="dxa" w:w="1590"/>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1.15 %</w:t>
            </w:r>
          </w:p>
        </w:tc>
        <w:tc>
          <w:tcPr>
            <w:tcW w:type="dxa" w:w="1590"/>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0.90</w:t>
            </w:r>
          </w:p>
        </w:tc>
        <w:tc>
          <w:tcPr>
            <w:tcW w:type="dxa" w:w="1590"/>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bCs/>
                <w:color w:val="375623"/>
                <w:sz w:val="19"/>
                <w:szCs w:val="19"/>
              </w:rPr>
              <w:t xml:space="preserve">+213.8 h</w:t>
            </w:r>
          </w:p>
        </w:tc>
        <w:tc>
          <w:tcPr>
            <w:tcW w:type="dxa" w:w="1590"/>
            <w:tcBorders>
              <w:top w:val="single" w:color="D0D0D0" w:sz="2"/>
              <w:left w:val="single" w:color="D0D0D0" w:sz="2"/>
              <w:bottom w:val="single" w:color="D0D0D0" w:sz="2"/>
              <w:right w:val="single" w:color="D0D0D0" w:sz="2"/>
            </w:tcBorders>
            <w:shd w:fill="E2EFDA"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 R &lt; 2 %</w:t>
            </w:r>
          </w:p>
        </w:tc>
      </w:tr>
    </w:tbl>
    <w:p>
      <w:pPr>
        <w:spacing w:after="140"/>
      </w:pPr>
    </w:p>
    <w:p>
      <w:pPr>
        <w:spacing w:after="140"/>
        <w:jc w:val="both"/>
      </w:pPr>
      <w:r>
        <w:rPr>
          <w:rFonts w:ascii="Arial" w:cs="Arial" w:eastAsia="Arial" w:hAnsi="Arial"/>
          <w:sz w:val="22"/>
          <w:szCs w:val="22"/>
        </w:rPr>
        <w:t xml:space="preserve">Le modèle par aéroport est le plus performant opérationnellement, avec un gain de 213.8 heures sur 612 alertes (soit ~21 minutes par alerte en moyenne), tout en maintenant un risque de 1.15 % — bien en deçà du seuil acceptable de 2 %. Ce résultat représente une amélioration de +165 % par rapport au modèle de base.</w:t>
      </w:r>
    </w:p>
    <w:p>
      <w:pPr>
        <w:spacing w:after="160"/>
      </w:pPr>
    </w:p>
    <w:p>
      <w:pPr>
        <w:pStyle w:val="Heading2"/>
        <w:spacing w:after="160" w:before="300"/>
      </w:pPr>
      <w:r>
        <w:rPr>
          <w:rFonts w:ascii="Arial" w:cs="Arial" w:eastAsia="Arial" w:hAnsi="Arial"/>
          <w:b/>
          <w:bCs/>
          <w:color w:val="2F5496"/>
          <w:sz w:val="26"/>
          <w:szCs w:val="26"/>
        </w:rPr>
        <w:t xml:space="preserve">5.4 Performance par aéroport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400"/>
        <w:gridCol w:w="1400"/>
        <w:gridCol w:w="1400"/>
        <w:gridCol w:w="1400"/>
        <w:gridCol w:w="1800"/>
      </w:tblGrid>
      <w:tr>
        <w:tc>
          <w:tcPr>
            <w:tcW w:type="dxa" w:w="196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Aéroport</w:t>
            </w:r>
          </w:p>
        </w:tc>
        <w:tc>
          <w:tcPr>
            <w:tcW w:type="dxa" w:w="14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Alertes</w:t>
            </w:r>
          </w:p>
        </w:tc>
        <w:tc>
          <w:tcPr>
            <w:tcW w:type="dxa" w:w="14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AUC</w:t>
            </w:r>
          </w:p>
        </w:tc>
        <w:tc>
          <w:tcPr>
            <w:tcW w:type="dxa" w:w="14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AP</w:t>
            </w:r>
          </w:p>
        </w:tc>
        <w:tc>
          <w:tcPr>
            <w:tcW w:type="dxa" w:w="14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F1 opt</w:t>
            </w:r>
          </w:p>
        </w:tc>
        <w:tc>
          <w:tcPr>
            <w:tcW w:type="dxa" w:w="18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Seuil optimal</w:t>
            </w:r>
          </w:p>
        </w:tc>
      </w:tr>
      <w:tr>
        <w:tc>
          <w:tcPr>
            <w:tcW w:type="dxa" w:w="19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Ajaccio</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530</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0.931</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0.414</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0.444</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0.387</w:t>
            </w:r>
          </w:p>
        </w:tc>
      </w:tr>
      <w:tr>
        <w:tc>
          <w:tcPr>
            <w:tcW w:type="dxa" w:w="19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Bastia</w:t>
            </w:r>
          </w:p>
        </w:tc>
        <w:tc>
          <w:tcPr>
            <w:tcW w:type="dxa" w:w="14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532</w:t>
            </w:r>
          </w:p>
        </w:tc>
        <w:tc>
          <w:tcPr>
            <w:tcW w:type="dxa" w:w="14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0.923</w:t>
            </w:r>
          </w:p>
        </w:tc>
        <w:tc>
          <w:tcPr>
            <w:tcW w:type="dxa" w:w="14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0.301</w:t>
            </w:r>
          </w:p>
        </w:tc>
        <w:tc>
          <w:tcPr>
            <w:tcW w:type="dxa" w:w="14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0.384</w:t>
            </w:r>
          </w:p>
        </w:tc>
        <w:tc>
          <w:tcPr>
            <w:tcW w:type="dxa" w:w="18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0.275</w:t>
            </w:r>
          </w:p>
        </w:tc>
      </w:tr>
      <w:tr>
        <w:tc>
          <w:tcPr>
            <w:tcW w:type="dxa" w:w="19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Biarritz</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590</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0.923</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0.394</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0.463</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0.224</w:t>
            </w:r>
          </w:p>
        </w:tc>
      </w:tr>
      <w:tr>
        <w:tc>
          <w:tcPr>
            <w:tcW w:type="dxa" w:w="196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Nantes</w:t>
            </w:r>
          </w:p>
        </w:tc>
        <w:tc>
          <w:tcPr>
            <w:tcW w:type="dxa" w:w="14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206</w:t>
            </w:r>
          </w:p>
        </w:tc>
        <w:tc>
          <w:tcPr>
            <w:tcW w:type="dxa" w:w="14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0.896</w:t>
            </w:r>
          </w:p>
        </w:tc>
        <w:tc>
          <w:tcPr>
            <w:tcW w:type="dxa" w:w="14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0.360</w:t>
            </w:r>
          </w:p>
        </w:tc>
        <w:tc>
          <w:tcPr>
            <w:tcW w:type="dxa" w:w="14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0.407</w:t>
            </w:r>
          </w:p>
        </w:tc>
        <w:tc>
          <w:tcPr>
            <w:tcW w:type="dxa" w:w="18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0.083</w:t>
            </w:r>
          </w:p>
        </w:tc>
      </w:tr>
      <w:tr>
        <w:tc>
          <w:tcPr>
            <w:tcW w:type="dxa" w:w="196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Pise</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769</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0.929</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0.416</w:t>
            </w:r>
          </w:p>
        </w:tc>
        <w:tc>
          <w:tcPr>
            <w:tcW w:type="dxa" w:w="14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0.442</w:t>
            </w:r>
          </w:p>
        </w:tc>
        <w:tc>
          <w:tcPr>
            <w:tcW w:type="dxa" w:w="18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0.528</w:t>
            </w:r>
          </w:p>
        </w:tc>
      </w:tr>
    </w:tbl>
    <w:p>
      <w:pPr>
        <w:spacing w:after="140"/>
      </w:pPr>
    </w:p>
    <w:p>
      <w:pPr>
        <w:spacing w:after="140"/>
        <w:jc w:val="both"/>
      </w:pPr>
      <w:r>
        <w:rPr>
          <w:rFonts w:ascii="Arial" w:cs="Arial" w:eastAsia="Arial" w:hAnsi="Arial"/>
          <w:sz w:val="22"/>
          <w:szCs w:val="22"/>
        </w:rPr>
        <w:t xml:space="preserve">Les seuils optimaux varient fortement selon l'aéroport (0.08 pour Nantes vs 0.53 pour Pise), ce qui justifie l'approche par aéroport. Nantes, avec peu d'alertes (206), bénéficie d'un seuil très bas pour maximiser le recall. Pise, plus riche en données (769 alertes), peut se permettre un seuil plus élevé et donc une meilleure précision.</w:t>
      </w:r>
    </w:p>
    <w:p>
      <w:pPr>
        <w:spacing w:after="160"/>
      </w:pPr>
    </w:p>
    <w:p>
      <w:pPr>
        <w:pStyle w:val="Heading2"/>
        <w:spacing w:after="160" w:before="300"/>
      </w:pPr>
      <w:r>
        <w:rPr>
          <w:rFonts w:ascii="Arial" w:cs="Arial" w:eastAsia="Arial" w:hAnsi="Arial"/>
          <w:b/>
          <w:bCs/>
          <w:color w:val="2F5496"/>
          <w:sz w:val="26"/>
          <w:szCs w:val="26"/>
        </w:rPr>
        <w:t xml:space="preserve">5.5 Features les plus importantes</w:t>
      </w:r>
    </w:p>
    <w:p>
      <w:pPr>
        <w:spacing w:after="140"/>
        <w:jc w:val="both"/>
      </w:pPr>
      <w:r>
        <w:rPr>
          <w:rFonts w:ascii="Arial" w:cs="Arial" w:eastAsia="Arial" w:hAnsi="Arial"/>
          <w:sz w:val="22"/>
          <w:szCs w:val="22"/>
        </w:rPr>
        <w:t xml:space="preserve">Classement moyen sur les 5 folds de cross-validation (V3) :</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600"/>
        <w:gridCol w:w="5040"/>
      </w:tblGrid>
      <w:tr>
        <w:tc>
          <w:tcPr>
            <w:tcW w:type="dxa" w:w="72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w:t>
            </w:r>
          </w:p>
        </w:tc>
        <w:tc>
          <w:tcPr>
            <w:tcW w:type="dxa" w:w="360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Feature</w:t>
            </w:r>
          </w:p>
        </w:tc>
        <w:tc>
          <w:tcPr>
            <w:tcW w:type="dxa" w:w="5040"/>
            <w:tcBorders>
              <w:top w:val="single" w:color="2E75B6" w:sz="4"/>
              <w:left w:val="single" w:color="2E75B6" w:sz="4"/>
              <w:bottom w:val="single" w:color="2E75B6" w:sz="4"/>
              <w:right w:val="single" w:color="2E75B6" w:sz="4"/>
            </w:tcBorders>
            <w:shd w:fill="2F5496"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Interprétation</w:t>
            </w:r>
          </w:p>
        </w:tc>
      </w:tr>
      <w:tr>
        <w:tc>
          <w:tcPr>
            <w:tcW w:type="dxa" w:w="72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1</w:t>
            </w:r>
          </w:p>
        </w:tc>
        <w:tc>
          <w:tcPr>
            <w:tcW w:type="dxa" w:w="36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azimuth</w:t>
            </w:r>
          </w:p>
        </w:tc>
        <w:tc>
          <w:tcPr>
            <w:tcW w:type="dxa" w:w="504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Direction de l'orage → trajectoire (approche ou éloignement)</w:t>
            </w:r>
          </w:p>
        </w:tc>
      </w:tr>
      <w:tr>
        <w:tc>
          <w:tcPr>
            <w:tcW w:type="dxa" w:w="7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2</w:t>
            </w:r>
          </w:p>
        </w:tc>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dt_prev_s</w:t>
            </w:r>
          </w:p>
        </w:tc>
        <w:tc>
          <w:tcPr>
            <w:tcW w:type="dxa" w:w="504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Temps inter-éclairs → espacement croissant = fin proche</w:t>
            </w:r>
          </w:p>
        </w:tc>
      </w:tr>
      <w:tr>
        <w:tc>
          <w:tcPr>
            <w:tcW w:type="dxa" w:w="72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3</w:t>
            </w:r>
          </w:p>
        </w:tc>
        <w:tc>
          <w:tcPr>
            <w:tcW w:type="dxa" w:w="36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maxis</w:t>
            </w:r>
          </w:p>
        </w:tc>
        <w:tc>
          <w:tcPr>
            <w:tcW w:type="dxa" w:w="504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Intensité du courant → déclin de l'énergie orageuse</w:t>
            </w:r>
          </w:p>
        </w:tc>
      </w:tr>
      <w:tr>
        <w:tc>
          <w:tcPr>
            <w:tcW w:type="dxa" w:w="7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4</w:t>
            </w:r>
          </w:p>
        </w:tc>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dist_trend_3</w:t>
            </w:r>
          </w:p>
        </w:tc>
        <w:tc>
          <w:tcPr>
            <w:tcW w:type="dxa" w:w="504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Tendance de distance (3 derniers) → orage qui s'éloigne</w:t>
            </w:r>
          </w:p>
        </w:tc>
      </w:tr>
      <w:tr>
        <w:tc>
          <w:tcPr>
            <w:tcW w:type="dxa" w:w="72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5</w:t>
            </w:r>
          </w:p>
        </w:tc>
        <w:tc>
          <w:tcPr>
            <w:tcW w:type="dxa" w:w="36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amp_abs</w:t>
            </w:r>
          </w:p>
        </w:tc>
        <w:tc>
          <w:tcPr>
            <w:tcW w:type="dxa" w:w="504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Amplitude absolue → énergie résiduelle</w:t>
            </w:r>
          </w:p>
        </w:tc>
      </w:tr>
      <w:tr>
        <w:tc>
          <w:tcPr>
            <w:tcW w:type="dxa" w:w="7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6</w:t>
            </w:r>
          </w:p>
        </w:tc>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dist_trend_5</w:t>
            </w:r>
          </w:p>
        </w:tc>
        <w:tc>
          <w:tcPr>
            <w:tcW w:type="dxa" w:w="504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Tendance de distance (5 derniers)</w:t>
            </w:r>
          </w:p>
        </w:tc>
      </w:tr>
      <w:tr>
        <w:tc>
          <w:tcPr>
            <w:tcW w:type="dxa" w:w="72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7</w:t>
            </w:r>
          </w:p>
        </w:tc>
        <w:tc>
          <w:tcPr>
            <w:tcW w:type="dxa" w:w="36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dist_mean_3</w:t>
            </w:r>
          </w:p>
        </w:tc>
        <w:tc>
          <w:tcPr>
            <w:tcW w:type="dxa" w:w="504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Distance moyenne récente</w:t>
            </w:r>
          </w:p>
        </w:tc>
      </w:tr>
      <w:tr>
        <w:tc>
          <w:tcPr>
            <w:tcW w:type="dxa" w:w="7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8</w:t>
            </w:r>
          </w:p>
        </w:tc>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t_since_start_s</w:t>
            </w:r>
          </w:p>
        </w:tc>
        <w:tc>
          <w:tcPr>
            <w:tcW w:type="dxa" w:w="504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Durée de l'alerte → orages longs ont plus de fin difficile</w:t>
            </w:r>
          </w:p>
        </w:tc>
      </w:tr>
      <w:tr>
        <w:tc>
          <w:tcPr>
            <w:tcW w:type="dxa" w:w="72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9</w:t>
            </w:r>
          </w:p>
        </w:tc>
        <w:tc>
          <w:tcPr>
            <w:tcW w:type="dxa" w:w="360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dist</w:t>
            </w:r>
          </w:p>
        </w:tc>
        <w:tc>
          <w:tcPr>
            <w:tcW w:type="dxa" w:w="5040"/>
            <w:tcBorders>
              <w:top w:val="single" w:color="D0D0D0" w:sz="2"/>
              <w:left w:val="single" w:color="D0D0D0" w:sz="2"/>
              <w:bottom w:val="single" w:color="D0D0D0" w:sz="2"/>
              <w:right w:val="single" w:color="D0D0D0" w:sz="2"/>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Distance instantanée</w:t>
            </w:r>
          </w:p>
        </w:tc>
      </w:tr>
      <w:tr>
        <w:tc>
          <w:tcPr>
            <w:tcW w:type="dxa" w:w="72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center"/>
            </w:pPr>
            <w:r>
              <w:rPr>
                <w:rFonts w:ascii="Arial" w:cs="Arial" w:eastAsia="Arial" w:hAnsi="Arial"/>
                <w:b/>
                <w:bCs/>
                <w:color w:val="000000"/>
                <w:sz w:val="19"/>
                <w:szCs w:val="19"/>
              </w:rPr>
              <w:t xml:space="preserve">10</w:t>
            </w:r>
          </w:p>
        </w:tc>
        <w:tc>
          <w:tcPr>
            <w:tcW w:type="dxa" w:w="360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rank_cg</w:t>
            </w:r>
          </w:p>
        </w:tc>
        <w:tc>
          <w:tcPr>
            <w:tcW w:type="dxa" w:w="5040"/>
            <w:tcBorders>
              <w:top w:val="single" w:color="D0D0D0" w:sz="2"/>
              <w:left w:val="single" w:color="D0D0D0" w:sz="2"/>
              <w:bottom w:val="single" w:color="D0D0D0" w:sz="2"/>
              <w:right w:val="single" w:color="D0D0D0" w:sz="2"/>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Rang dans l'alerte — plus on avance, plus la fin est probable</w:t>
            </w:r>
          </w:p>
        </w:tc>
      </w:tr>
    </w:tbl>
    <w:p>
      <w:r>
        <w:br w:type="page"/>
      </w:r>
    </w:p>
    <w:p>
      <w:pPr>
        <w:pStyle w:val="Heading1"/>
        <w:spacing w:after="200" w:before="360"/>
      </w:pPr>
      <w:r>
        <w:rPr>
          <w:rFonts w:ascii="Arial" w:cs="Arial" w:eastAsia="Arial" w:hAnsi="Arial"/>
          <w:b/>
          <w:bCs/>
          <w:color w:val="1F3864"/>
          <w:sz w:val="32"/>
          <w:szCs w:val="32"/>
        </w:rPr>
        <w:t xml:space="preserve">6. Discussion</w:t>
      </w:r>
    </w:p>
    <w:p>
      <w:pPr>
        <w:pBdr>
          <w:bottom w:val="single" w:color="2E75B6" w:sz="8" w:space="1"/>
        </w:pBdr>
        <w:spacing w:after="120"/>
      </w:pPr>
    </w:p>
    <w:p>
      <w:pPr>
        <w:pStyle w:val="Heading2"/>
        <w:spacing w:after="160" w:before="300"/>
      </w:pPr>
      <w:r>
        <w:rPr>
          <w:rFonts w:ascii="Arial" w:cs="Arial" w:eastAsia="Arial" w:hAnsi="Arial"/>
          <w:b/>
          <w:bCs/>
          <w:color w:val="2F5496"/>
          <w:sz w:val="26"/>
          <w:szCs w:val="26"/>
        </w:rPr>
        <w:t xml:space="preserve">6.1 Apport des features IC</w:t>
      </w:r>
    </w:p>
    <w:p>
      <w:pPr>
        <w:spacing w:after="140"/>
        <w:jc w:val="both"/>
      </w:pPr>
      <w:r>
        <w:rPr>
          <w:rFonts w:ascii="Arial" w:cs="Arial" w:eastAsia="Arial" w:hAnsi="Arial"/>
          <w:sz w:val="22"/>
          <w:szCs w:val="22"/>
        </w:rPr>
        <w:t xml:space="preserve">L'intégration des éclairs intra-nuage comme contexte représente l'amélioration la plus significative sur la métrique AUC (+1.3 %) et F1 (+10 %). Cela confirme l'hypothèse physique : les IC sont un signal précoce de l'affaiblissement de la cellule orageuse. Le ratio IC/CG augmente systématiquement dans les 10 minutes précédant la fin d'une alerte.</w:t>
      </w:r>
    </w:p>
    <w:p>
      <w:pPr>
        <w:spacing w:after="160"/>
      </w:pPr>
    </w:p>
    <w:p>
      <w:pPr>
        <w:pStyle w:val="Heading2"/>
        <w:spacing w:after="160" w:before="300"/>
      </w:pPr>
      <w:r>
        <w:rPr>
          <w:rFonts w:ascii="Arial" w:cs="Arial" w:eastAsia="Arial" w:hAnsi="Arial"/>
          <w:b/>
          <w:bCs/>
          <w:color w:val="2F5496"/>
          <w:sz w:val="26"/>
          <w:szCs w:val="26"/>
        </w:rPr>
        <w:t xml:space="preserve">6.2 Apport des modèles par aéroport</w:t>
      </w:r>
    </w:p>
    <w:p>
      <w:pPr>
        <w:spacing w:after="140"/>
        <w:jc w:val="both"/>
      </w:pPr>
      <w:r>
        <w:rPr>
          <w:rFonts w:ascii="Arial" w:cs="Arial" w:eastAsia="Arial" w:hAnsi="Arial"/>
          <w:sz w:val="22"/>
          <w:szCs w:val="22"/>
        </w:rPr>
        <w:t xml:space="preserve">L'approche par aéroport multiplie le gain opérationnel par 2.6. Chaque aéroport présente des spécificités qui un modèle global ne peut pas capturer :</w:t>
      </w:r>
    </w:p>
    <w:p>
      <w:pPr>
        <w:pStyle w:val="ListParagraph"/>
        <w:numPr>
          <w:ilvl w:val="0"/>
          <w:numId w:val="2"/>
        </w:numPr>
        <w:spacing w:after="100"/>
      </w:pPr>
      <w:r>
        <w:rPr>
          <w:rFonts w:ascii="Arial" w:cs="Arial" w:eastAsia="Arial" w:hAnsi="Arial"/>
          <w:sz w:val="22"/>
          <w:szCs w:val="22"/>
        </w:rPr>
        <w:t xml:space="preserve"> Biarritz : seuil très bas (0.22) → orages atlantiques à forte variabilité, recall prioritaire</w:t>
      </w:r>
    </w:p>
    <w:p>
      <w:pPr>
        <w:pStyle w:val="ListParagraph"/>
        <w:numPr>
          <w:ilvl w:val="0"/>
          <w:numId w:val="2"/>
        </w:numPr>
        <w:spacing w:after="100"/>
      </w:pPr>
      <w:r>
        <w:rPr>
          <w:rFonts w:ascii="Arial" w:cs="Arial" w:eastAsia="Arial" w:hAnsi="Arial"/>
          <w:sz w:val="22"/>
          <w:szCs w:val="22"/>
        </w:rPr>
        <w:t xml:space="preserve"> Pise : seuil élevé (0.53) → orages liguriens plus stéréotypés, précision élevée possible</w:t>
      </w:r>
    </w:p>
    <w:p>
      <w:pPr>
        <w:pStyle w:val="ListParagraph"/>
        <w:numPr>
          <w:ilvl w:val="0"/>
          <w:numId w:val="2"/>
        </w:numPr>
        <w:spacing w:after="100"/>
      </w:pPr>
      <w:r>
        <w:rPr>
          <w:rFonts w:ascii="Arial" w:cs="Arial" w:eastAsia="Arial" w:hAnsi="Arial"/>
          <w:sz w:val="22"/>
          <w:szCs w:val="22"/>
        </w:rPr>
        <w:t xml:space="preserve"> Nantes : très peu d'alertes (206) → seuil minimal pour maximiser le recall</w:t>
      </w:r>
    </w:p>
    <w:p>
      <w:pPr>
        <w:spacing w:after="160"/>
      </w:pPr>
    </w:p>
    <w:p>
      <w:pPr>
        <w:pStyle w:val="Heading2"/>
        <w:spacing w:after="160" w:before="300"/>
      </w:pPr>
      <w:r>
        <w:rPr>
          <w:rFonts w:ascii="Arial" w:cs="Arial" w:eastAsia="Arial" w:hAnsi="Arial"/>
          <w:b/>
          <w:bCs/>
          <w:color w:val="2F5496"/>
          <w:sz w:val="26"/>
          <w:szCs w:val="26"/>
        </w:rPr>
        <w:t xml:space="preserve">6.3 Limites actuelles</w:t>
      </w:r>
    </w:p>
    <w:p>
      <w:pPr>
        <w:pStyle w:val="ListParagraph"/>
        <w:numPr>
          <w:ilvl w:val="0"/>
          <w:numId w:val="2"/>
        </w:numPr>
        <w:spacing w:after="100"/>
      </w:pPr>
      <w:r>
        <w:rPr>
          <w:rFonts w:ascii="Arial" w:cs="Arial" w:eastAsia="Arial" w:hAnsi="Arial"/>
          <w:sz w:val="22"/>
          <w:szCs w:val="22"/>
        </w:rPr>
        <w:t xml:space="preserve"> Precision globale encore modeste : 0.37 → 63 % des alertes levées sont des fausses alarmes</w:t>
      </w:r>
    </w:p>
    <w:p>
      <w:pPr>
        <w:pStyle w:val="ListParagraph"/>
        <w:numPr>
          <w:ilvl w:val="0"/>
          <w:numId w:val="2"/>
        </w:numPr>
        <w:spacing w:after="100"/>
      </w:pPr>
      <w:r>
        <w:rPr>
          <w:rFonts w:ascii="Arial" w:cs="Arial" w:eastAsia="Arial" w:hAnsi="Arial"/>
          <w:sz w:val="22"/>
          <w:szCs w:val="22"/>
        </w:rPr>
        <w:t xml:space="preserve"> Le modèle travaille éclair par éclair, sans mémoire séquentielle explicite</w:t>
      </w:r>
    </w:p>
    <w:p>
      <w:pPr>
        <w:pStyle w:val="ListParagraph"/>
        <w:numPr>
          <w:ilvl w:val="0"/>
          <w:numId w:val="2"/>
        </w:numPr>
        <w:spacing w:after="100"/>
      </w:pPr>
      <w:r>
        <w:rPr>
          <w:rFonts w:ascii="Arial" w:cs="Arial" w:eastAsia="Arial" w:hAnsi="Arial"/>
          <w:sz w:val="22"/>
          <w:szCs w:val="22"/>
        </w:rPr>
        <w:t xml:space="preserve"> Les features IC utilisent des éclairs globaux (pas seulement ceux &lt; 30 km)</w:t>
      </w:r>
    </w:p>
    <w:p>
      <w:pPr>
        <w:pStyle w:val="ListParagraph"/>
        <w:numPr>
          <w:ilvl w:val="0"/>
          <w:numId w:val="2"/>
        </w:numPr>
        <w:spacing w:after="100"/>
      </w:pPr>
      <w:r>
        <w:rPr>
          <w:rFonts w:ascii="Arial" w:cs="Arial" w:eastAsia="Arial" w:hAnsi="Arial"/>
          <w:sz w:val="22"/>
          <w:szCs w:val="22"/>
        </w:rPr>
        <w:t xml:space="preserve"> Pas de données météo (vent, température, CAPE) qui enrichiraient fortement le modèle</w:t>
      </w:r>
    </w:p>
    <w:p>
      <w:pPr>
        <w:spacing w:after="160"/>
      </w:pPr>
    </w:p>
    <w:p>
      <w:pPr>
        <w:pStyle w:val="Heading2"/>
        <w:spacing w:after="160" w:before="300"/>
      </w:pPr>
      <w:r>
        <w:rPr>
          <w:rFonts w:ascii="Arial" w:cs="Arial" w:eastAsia="Arial" w:hAnsi="Arial"/>
          <w:b/>
          <w:bCs/>
          <w:color w:val="2F5496"/>
          <w:sz w:val="26"/>
          <w:szCs w:val="26"/>
        </w:rPr>
        <w:t xml:space="preserve">6.4 Comparaison avec la baseline Météorage</w:t>
      </w:r>
    </w:p>
    <w:p>
      <w:pPr>
        <w:spacing w:after="140"/>
        <w:jc w:val="both"/>
      </w:pPr>
      <w:r>
        <w:rPr>
          <w:rFonts w:ascii="Arial" w:cs="Arial" w:eastAsia="Arial" w:hAnsi="Arial"/>
          <w:sz w:val="22"/>
          <w:szCs w:val="22"/>
        </w:rPr>
        <w:t xml:space="preserve">Météorage annonce une accuracy de 80.77 % avec des méthodes statistiques pures. Notre modèle atteint 95.4 % d'accuracy (au seuil de 0.65) mais cette métrique n'est pas la plus pertinente ici en raison du déséquilibre des classes. La vraie supériorité se mesure sur le gain opérationnel : +213.8 heures par rapport à la règle fixe de 30 minutes, avec un risque contrôlé à 1.15 %.</w:t>
      </w:r>
    </w:p>
    <w:p>
      <w:r>
        <w:br w:type="page"/>
      </w:r>
    </w:p>
    <w:p>
      <w:pPr>
        <w:pStyle w:val="Heading1"/>
        <w:spacing w:after="200" w:before="360"/>
      </w:pPr>
      <w:r>
        <w:rPr>
          <w:rFonts w:ascii="Arial" w:cs="Arial" w:eastAsia="Arial" w:hAnsi="Arial"/>
          <w:b/>
          <w:bCs/>
          <w:color w:val="1F3864"/>
          <w:sz w:val="32"/>
          <w:szCs w:val="32"/>
        </w:rPr>
        <w:t xml:space="preserve">7. Pistes d'amélioration</w:t>
      </w:r>
    </w:p>
    <w:p>
      <w:pPr>
        <w:pBdr>
          <w:bottom w:val="single" w:color="2E75B6" w:sz="8" w:space="1"/>
        </w:pBdr>
        <w:spacing w:after="120"/>
      </w:pPr>
    </w:p>
    <w:p>
      <w:pPr>
        <w:pStyle w:val="Heading2"/>
        <w:spacing w:after="160" w:before="300"/>
      </w:pPr>
      <w:r>
        <w:rPr>
          <w:rFonts w:ascii="Arial" w:cs="Arial" w:eastAsia="Arial" w:hAnsi="Arial"/>
          <w:b/>
          <w:bCs/>
          <w:color w:val="2F5496"/>
          <w:sz w:val="26"/>
          <w:szCs w:val="26"/>
        </w:rPr>
        <w:t xml:space="preserve">7.1 Modèles séquentiels</w:t>
      </w:r>
    </w:p>
    <w:p>
      <w:pPr>
        <w:spacing w:after="140"/>
        <w:jc w:val="both"/>
      </w:pPr>
      <w:r>
        <w:rPr>
          <w:rFonts w:ascii="Arial" w:cs="Arial" w:eastAsia="Arial" w:hAnsi="Arial"/>
          <w:sz w:val="22"/>
          <w:szCs w:val="22"/>
        </w:rPr>
        <w:t xml:space="preserve">Le modèle actuel traite chaque éclair indépendamment. Un modèle séquentiel (LSTM, Transformer) qui modélise explicitement la trajectoire temporelle de l'alerte permettrait de capturer les patterns de déclin sur toute la durée.</w:t>
      </w:r>
    </w:p>
    <w:p>
      <w:pPr>
        <w:pStyle w:val="ListParagraph"/>
        <w:numPr>
          <w:ilvl w:val="0"/>
          <w:numId w:val="2"/>
        </w:numPr>
        <w:spacing w:after="100"/>
      </w:pPr>
      <w:r>
        <w:rPr>
          <w:rFonts w:ascii="Arial" w:cs="Arial" w:eastAsia="Arial" w:hAnsi="Arial"/>
          <w:sz w:val="22"/>
          <w:szCs w:val="22"/>
        </w:rPr>
        <w:t xml:space="preserve"> LSTM avec fenêtre glissante sur les N derniers éclairs de l'alerte</w:t>
      </w:r>
    </w:p>
    <w:p>
      <w:pPr>
        <w:pStyle w:val="ListParagraph"/>
        <w:numPr>
          <w:ilvl w:val="0"/>
          <w:numId w:val="2"/>
        </w:numPr>
        <w:spacing w:after="100"/>
      </w:pPr>
      <w:r>
        <w:rPr>
          <w:rFonts w:ascii="Arial" w:cs="Arial" w:eastAsia="Arial" w:hAnsi="Arial"/>
          <w:sz w:val="22"/>
          <w:szCs w:val="22"/>
        </w:rPr>
        <w:t xml:space="preserve"> Transformer multi-tête pour l'attention sur l'historique complet</w:t>
      </w:r>
    </w:p>
    <w:p>
      <w:pPr>
        <w:pStyle w:val="ListParagraph"/>
        <w:numPr>
          <w:ilvl w:val="0"/>
          <w:numId w:val="2"/>
        </w:numPr>
        <w:spacing w:after="100"/>
      </w:pPr>
      <w:r>
        <w:rPr>
          <w:rFonts w:ascii="Arial" w:cs="Arial" w:eastAsia="Arial" w:hAnsi="Arial"/>
          <w:sz w:val="22"/>
          <w:szCs w:val="22"/>
        </w:rPr>
        <w:t xml:space="preserve"> Approche hybride : features engineered + séquence embeddings</w:t>
      </w:r>
    </w:p>
    <w:p>
      <w:pPr>
        <w:spacing w:after="160"/>
      </w:pPr>
    </w:p>
    <w:p>
      <w:pPr>
        <w:pStyle w:val="Heading2"/>
        <w:spacing w:after="160" w:before="300"/>
      </w:pPr>
      <w:r>
        <w:rPr>
          <w:rFonts w:ascii="Arial" w:cs="Arial" w:eastAsia="Arial" w:hAnsi="Arial"/>
          <w:b/>
          <w:bCs/>
          <w:color w:val="2F5496"/>
          <w:sz w:val="26"/>
          <w:szCs w:val="26"/>
        </w:rPr>
        <w:t xml:space="preserve">7.2 Enrichissement des données</w:t>
      </w:r>
    </w:p>
    <w:p>
      <w:pPr>
        <w:pStyle w:val="ListParagraph"/>
        <w:numPr>
          <w:ilvl w:val="0"/>
          <w:numId w:val="2"/>
        </w:numPr>
        <w:spacing w:after="100"/>
      </w:pPr>
      <w:r>
        <w:rPr>
          <w:rFonts w:ascii="Arial" w:cs="Arial" w:eastAsia="Arial" w:hAnsi="Arial"/>
          <w:sz w:val="22"/>
          <w:szCs w:val="22"/>
        </w:rPr>
        <w:t xml:space="preserve"> Données météo (NWP) : vent, humidité, CAPE, cisaillement de vent</w:t>
      </w:r>
    </w:p>
    <w:p>
      <w:pPr>
        <w:pStyle w:val="ListParagraph"/>
        <w:numPr>
          <w:ilvl w:val="0"/>
          <w:numId w:val="2"/>
        </w:numPr>
        <w:spacing w:after="100"/>
      </w:pPr>
      <w:r>
        <w:rPr>
          <w:rFonts w:ascii="Arial" w:cs="Arial" w:eastAsia="Arial" w:hAnsi="Arial"/>
          <w:sz w:val="22"/>
          <w:szCs w:val="22"/>
        </w:rPr>
        <w:t xml:space="preserve"> Altitude de la base des nuages (radar)</w:t>
      </w:r>
    </w:p>
    <w:p>
      <w:pPr>
        <w:pStyle w:val="ListParagraph"/>
        <w:numPr>
          <w:ilvl w:val="0"/>
          <w:numId w:val="2"/>
        </w:numPr>
        <w:spacing w:after="100"/>
      </w:pPr>
      <w:r>
        <w:rPr>
          <w:rFonts w:ascii="Arial" w:cs="Arial" w:eastAsia="Arial" w:hAnsi="Arial"/>
          <w:sz w:val="22"/>
          <w:szCs w:val="22"/>
        </w:rPr>
        <w:t xml:space="preserve"> Données historiques d'orages similaires (apprentissage par analogie)</w:t>
      </w:r>
    </w:p>
    <w:p>
      <w:pPr>
        <w:pStyle w:val="ListParagraph"/>
        <w:numPr>
          <w:ilvl w:val="0"/>
          <w:numId w:val="2"/>
        </w:numPr>
        <w:spacing w:after="100"/>
      </w:pPr>
      <w:r>
        <w:rPr>
          <w:rFonts w:ascii="Arial" w:cs="Arial" w:eastAsia="Arial" w:hAnsi="Arial"/>
          <w:sz w:val="22"/>
          <w:szCs w:val="22"/>
        </w:rPr>
        <w:t xml:space="preserve"> Images satellites infrarouges (température des sommets nuageux)</w:t>
      </w:r>
    </w:p>
    <w:p>
      <w:pPr>
        <w:spacing w:after="160"/>
      </w:pPr>
    </w:p>
    <w:p>
      <w:pPr>
        <w:pStyle w:val="Heading2"/>
        <w:spacing w:after="160" w:before="300"/>
      </w:pPr>
      <w:r>
        <w:rPr>
          <w:rFonts w:ascii="Arial" w:cs="Arial" w:eastAsia="Arial" w:hAnsi="Arial"/>
          <w:b/>
          <w:bCs/>
          <w:color w:val="2F5496"/>
          <w:sz w:val="26"/>
          <w:szCs w:val="26"/>
        </w:rPr>
        <w:t xml:space="preserve">7.3 Amélioration de la précision</w:t>
      </w:r>
    </w:p>
    <w:p>
      <w:pPr>
        <w:spacing w:after="140"/>
        <w:jc w:val="both"/>
      </w:pPr>
      <w:r>
        <w:rPr>
          <w:rFonts w:ascii="Arial" w:cs="Arial" w:eastAsia="Arial" w:hAnsi="Arial"/>
          <w:sz w:val="22"/>
          <w:szCs w:val="22"/>
        </w:rPr>
        <w:t xml:space="preserve">Pour réduire les faux positifs tout en maintenant le recall :</w:t>
      </w:r>
    </w:p>
    <w:p>
      <w:pPr>
        <w:pStyle w:val="ListParagraph"/>
        <w:numPr>
          <w:ilvl w:val="0"/>
          <w:numId w:val="2"/>
        </w:numPr>
        <w:spacing w:after="100"/>
      </w:pPr>
      <w:r>
        <w:rPr>
          <w:rFonts w:ascii="Arial" w:cs="Arial" w:eastAsia="Arial" w:hAnsi="Arial"/>
          <w:sz w:val="22"/>
          <w:szCs w:val="22"/>
        </w:rPr>
        <w:t xml:space="preserve"> Post-processing : exiger K éclairs consécutifs avec score &gt; θ avant de lever l'alerte</w:t>
      </w:r>
    </w:p>
    <w:p>
      <w:pPr>
        <w:pStyle w:val="ListParagraph"/>
        <w:numPr>
          <w:ilvl w:val="0"/>
          <w:numId w:val="2"/>
        </w:numPr>
        <w:spacing w:after="100"/>
      </w:pPr>
      <w:r>
        <w:rPr>
          <w:rFonts w:ascii="Arial" w:cs="Arial" w:eastAsia="Arial" w:hAnsi="Arial"/>
          <w:sz w:val="22"/>
          <w:szCs w:val="22"/>
        </w:rPr>
        <w:t xml:space="preserve"> Fenêtre temporelle : déclencher uniquement si aucun éclair &gt; θ dans les 5 dernières minutes</w:t>
      </w:r>
    </w:p>
    <w:p>
      <w:pPr>
        <w:pStyle w:val="ListParagraph"/>
        <w:numPr>
          <w:ilvl w:val="0"/>
          <w:numId w:val="2"/>
        </w:numPr>
        <w:spacing w:after="100"/>
      </w:pPr>
      <w:r>
        <w:rPr>
          <w:rFonts w:ascii="Arial" w:cs="Arial" w:eastAsia="Arial" w:hAnsi="Arial"/>
          <w:sz w:val="22"/>
          <w:szCs w:val="22"/>
        </w:rPr>
        <w:t xml:space="preserve"> Calibration des probabilités (Platt scaling, Isotonic Regression)</w:t>
      </w:r>
    </w:p>
    <w:p>
      <w:pPr>
        <w:pStyle w:val="ListParagraph"/>
        <w:numPr>
          <w:ilvl w:val="0"/>
          <w:numId w:val="2"/>
        </w:numPr>
        <w:spacing w:after="100"/>
      </w:pPr>
      <w:r>
        <w:rPr>
          <w:rFonts w:ascii="Arial" w:cs="Arial" w:eastAsia="Arial" w:hAnsi="Arial"/>
          <w:sz w:val="22"/>
          <w:szCs w:val="22"/>
        </w:rPr>
        <w:t xml:space="preserve"> Ensemble de modèles : combiner V3 global + modèles par aéroport</w:t>
      </w:r>
    </w:p>
    <w:p>
      <w:pPr>
        <w:spacing w:after="160"/>
      </w:pPr>
    </w:p>
    <w:p>
      <w:pPr>
        <w:pStyle w:val="Heading2"/>
        <w:spacing w:after="160" w:before="300"/>
      </w:pPr>
      <w:r>
        <w:rPr>
          <w:rFonts w:ascii="Arial" w:cs="Arial" w:eastAsia="Arial" w:hAnsi="Arial"/>
          <w:b/>
          <w:bCs/>
          <w:color w:val="2F5496"/>
          <w:sz w:val="26"/>
          <w:szCs w:val="26"/>
        </w:rPr>
        <w:t xml:space="preserve">7.4 Nouvelle définition de la prédiction</w:t>
      </w:r>
    </w:p>
    <w:p>
      <w:pPr>
        <w:spacing w:after="140"/>
        <w:jc w:val="both"/>
      </w:pPr>
      <w:r>
        <w:rPr>
          <w:rFonts w:ascii="Arial" w:cs="Arial" w:eastAsia="Arial" w:hAnsi="Arial"/>
          <w:sz w:val="22"/>
          <w:szCs w:val="22"/>
        </w:rPr>
        <w:t xml:space="preserve">Actuellement, la prédiction dit : « cet éclair est le dernier, l'alerte se termine maintenant ». Une approche plus riche serait de prédire « l'alerte se terminera dans X minutes », en estimant non plus un booléen mais un temps de fin. Cette formulation permettrait des gains encore plus importants tout en intégrant mieux l'incertitude.</w:t>
      </w:r>
    </w:p>
    <w:p>
      <w:r>
        <w:br w:type="page"/>
      </w:r>
    </w:p>
    <w:p>
      <w:pPr>
        <w:pStyle w:val="Heading1"/>
        <w:spacing w:after="200" w:before="360"/>
      </w:pPr>
      <w:r>
        <w:rPr>
          <w:rFonts w:ascii="Arial" w:cs="Arial" w:eastAsia="Arial" w:hAnsi="Arial"/>
          <w:b/>
          <w:bCs/>
          <w:color w:val="1F3864"/>
          <w:sz w:val="32"/>
          <w:szCs w:val="32"/>
        </w:rPr>
        <w:t xml:space="preserve">8. Conclusion</w:t>
      </w:r>
    </w:p>
    <w:p>
      <w:pPr>
        <w:pBdr>
          <w:bottom w:val="single" w:color="2E75B6" w:sz="8" w:space="1"/>
        </w:pBdr>
        <w:spacing w:after="120"/>
      </w:pPr>
    </w:p>
    <w:p>
      <w:pPr>
        <w:spacing w:after="140"/>
        <w:jc w:val="both"/>
      </w:pPr>
      <w:r>
        <w:rPr>
          <w:rFonts w:ascii="Arial" w:cs="Arial" w:eastAsia="Arial" w:hAnsi="Arial"/>
          <w:sz w:val="22"/>
          <w:szCs w:val="22"/>
        </w:rPr>
        <w:t xml:space="preserve">Ce projet démontre qu'il est possible de dépasser significativement la règle fixe de 30 minutes de Météorage grâce à un modèle d'apprentissage automatique entraîné sur les patterns spatio-temporels des éclairs.</w:t>
      </w:r>
    </w:p>
    <w:p>
      <w:pPr>
        <w:spacing w:after="80"/>
      </w:pPr>
    </w:p>
    <w:p>
      <w:pPr>
        <w:spacing w:after="140"/>
        <w:jc w:val="both"/>
      </w:pPr>
      <w:r>
        <w:rPr>
          <w:rFonts w:ascii="Arial" w:cs="Arial" w:eastAsia="Arial" w:hAnsi="Arial"/>
          <w:sz w:val="22"/>
          <w:szCs w:val="22"/>
        </w:rPr>
        <w:t xml:space="preserve">Les résultats obtenus sur le set d'évaluation (2023–2025) confirment la robustesse de l'approche : 213.8 heures de temps d'opération récupéré sur 612 alertes, avec un risque de seulement 1.15 % — soit une réduction 26 fois supérieure au temps gaspillé par la règle actuelle, sans compromettre la sécurité.</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gridSpan w:val="1"/>
            <w:tcBorders>
              <w:top w:val="single" w:color="2E75B6" w:sz="4"/>
              <w:left w:val="single" w:color="2E75B6" w:sz="4"/>
              <w:bottom w:val="single" w:color="2E75B6" w:sz="4"/>
              <w:right w:val="single" w:color="2E75B6" w:sz="4"/>
            </w:tcBorders>
            <w:shd w:fill="1F3864" w:val="clear"/>
            <w:tcMar>
              <w:top w:type="dxa" w:w="80"/>
              <w:left w:type="dxa" w:w="160"/>
              <w:bottom w:type="dxa" w:w="80"/>
              <w:right w:type="dxa" w:w="160"/>
            </w:tcMar>
          </w:tcPr>
          <w:p>
            <w:r>
              <w:rPr>
                <w:rFonts w:ascii="Arial" w:cs="Arial" w:eastAsia="Arial" w:hAnsi="Arial"/>
                <w:b/>
                <w:bCs/>
                <w:color w:val="FFFFFF"/>
                <w:sz w:val="21"/>
                <w:szCs w:val="21"/>
              </w:rPr>
              <w:t xml:space="preserve">Résultats clés du projet</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 AUC = 0.9328 ± 0.003  (meilleur modèle V3)</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 F1 optimal = 0.433  (précision 0.375, recall 0.513)</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 Gain opérationnel = 213.8 h sur 612 alertes (modèle par aéroport)</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 Risque = 1.15 %  &lt;  2 % (seuil acceptable)  ✓</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 Gain moyen par alerte ≈ 21 minutes</w:t>
            </w:r>
          </w:p>
        </w:tc>
      </w:tr>
      <w:tr>
        <w:tc>
          <w:tcPr>
            <w:tcBorders>
              <w:top w:val="none"/>
              <w:left w:val="single" w:color="2E75B6" w:sz="4"/>
              <w:bottom w:val="none"/>
              <w:right w:val="single" w:color="2E75B6" w:sz="4"/>
            </w:tcBorders>
            <w:shd w:fill="D5E8F0" w:val="clear"/>
            <w:tcMar>
              <w:top w:type="dxa" w:w="60"/>
              <w:left w:type="dxa" w:w="160"/>
              <w:bottom w:type="dxa" w:w="60"/>
              <w:right w:type="dxa" w:w="160"/>
            </w:tcMar>
          </w:tcPr>
          <w:p>
            <w:r>
              <w:rPr>
                <w:rFonts w:ascii="Arial" w:cs="Arial" w:eastAsia="Arial" w:hAnsi="Arial"/>
                <w:sz w:val="20"/>
                <w:szCs w:val="20"/>
              </w:rPr>
              <w:t xml:space="preserve">  • Dépasse la baseline Météorage (80.77 %) avec accuracy 95.4 %</w:t>
            </w:r>
          </w:p>
        </w:tc>
      </w:tr>
    </w:tbl>
    <w:p>
      <w:pPr>
        <w:spacing w:after="200"/>
      </w:pPr>
    </w:p>
    <w:p>
      <w:pPr>
        <w:spacing w:after="140"/>
        <w:jc w:val="both"/>
      </w:pPr>
      <w:r>
        <w:rPr>
          <w:rFonts w:ascii="Arial" w:cs="Arial" w:eastAsia="Arial" w:hAnsi="Arial"/>
          <w:sz w:val="22"/>
          <w:szCs w:val="22"/>
        </w:rPr>
        <w:t xml:space="preserve">Les pistes d'amélioration identifiées (modèles séquentiels, données météo, post-processing) laissent entrevoir des gains additionnels substantiels pour les prochaines semaines du projet.</w:t>
      </w:r>
    </w:p>
    <w:p>
      <w:pPr>
        <w:spacing w:after="200"/>
      </w:pPr>
    </w:p>
    <w:p>
      <w:pPr>
        <w:jc w:val="center"/>
      </w:pPr>
      <w:r>
        <w:rPr>
          <w:rFonts w:ascii="Arial" w:cs="Arial" w:eastAsia="Arial" w:hAnsi="Arial"/>
          <w:i/>
          <w:iCs/>
          <w:color w:val="888888"/>
          <w:sz w:val="20"/>
          <w:szCs w:val="20"/>
        </w:rPr>
        <w:t xml:space="preserve">— Fin du rapport —</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360"/>
      </w:tabs>
      <w:spacing w:before="80"/>
    </w:pPr>
    <w:r>
      <w:rPr>
        <w:rFonts w:ascii="Arial" w:cs="Arial" w:eastAsia="Arial" w:hAnsi="Arial"/>
        <w:color w:val="888888"/>
        <w:sz w:val="16"/>
        <w:szCs w:val="16"/>
      </w:rPr>
      <w:t xml:space="preserve">Rapport technique — 26 mars 2026</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360"/>
      </w:tabs>
      <w:spacing w:after="80"/>
    </w:pPr>
    <w:r>
      <w:rPr>
        <w:rFonts w:ascii="Arial" w:cs="Arial" w:eastAsia="Arial" w:hAnsi="Arial"/>
        <w:color w:val="2E75B6"/>
        <w:sz w:val="18"/>
        <w:szCs w:val="18"/>
      </w:rPr>
      <w:t xml:space="preserve">Data Battle 2026 — Météorage</w:t>
    </w:r>
    <w:r>
      <w:rPr>
        <w:rFonts w:ascii="Arial" w:cs="Arial" w:eastAsia="Arial" w:hAnsi="Arial"/>
        <w:color w:val="888888"/>
        <w:sz w:val="18"/>
        <w:szCs w:val="18"/>
      </w:rPr>
      <w:t xml:space="preserve">	Prédiction de la fin d'un orage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360"/>
      <w:outlineLvl w:val="0"/>
    </w:pPr>
    <w:rPr>
      <w:rFonts w:ascii="Arial" w:cs="Arial" w:eastAsia="Arial" w:hAnsi="Arial"/>
      <w:b/>
      <w:bCs/>
      <w:color w:val="1F3864"/>
      <w:sz w:val="32"/>
      <w:szCs w:val="32"/>
    </w:rPr>
  </w:style>
  <w:style w:type="paragraph" w:styleId="Heading2">
    <w:name w:val="Heading 2"/>
    <w:basedOn w:val="Normal"/>
    <w:next w:val="Normal"/>
    <w:pPr>
      <w:spacing w:after="160" w:before="300"/>
      <w:outlineLvl w:val="1"/>
    </w:pPr>
    <w:rPr>
      <w:rFonts w:ascii="Arial" w:cs="Arial" w:eastAsia="Arial" w:hAnsi="Arial"/>
      <w:b/>
      <w:bCs/>
      <w:color w:val="2F5496"/>
      <w:sz w:val="26"/>
      <w:szCs w:val="26"/>
    </w:rPr>
  </w:style>
  <w:style w:type="paragraph" w:styleId="Heading3">
    <w:name w:val="Heading 3"/>
    <w:basedOn w:val="Normal"/>
    <w:next w:val="Normal"/>
    <w:pPr>
      <w:spacing w:after="120" w:before="24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2026-03-26T10:06:06.699Z</dcterms:created>
  <dcterms:modified xsi:type="dcterms:W3CDTF">2026-03-26T10:06:06.700Z</dcterms:modified>
</cp:coreProperties>
</file>

<file path=docProps/custom.xml><?xml version="1.0" encoding="utf-8"?>
<Properties xmlns="http://schemas.openxmlformats.org/officeDocument/2006/custom-properties" xmlns:vt="http://schemas.openxmlformats.org/officeDocument/2006/docPropsVTypes"/>
</file>