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spacing w:after="80" w:before="0"/>
        <w:jc w:val="center"/>
      </w:pPr>
      <w:r>
        <w:rPr>
          <w:rFonts w:ascii="Arial" w:cs="Arial" w:eastAsia="Arial" w:hAnsi="Arial"/>
          <w:b/>
          <w:bCs/>
          <w:sz w:val="64"/>
          <w:szCs w:val="64"/>
        </w:rPr>
        <w:t xml:space="preserve">DATA BATTLE 2026</w:t>
      </w:r>
    </w:p>
    <w:p>
      <w:pPr>
        <w:spacing w:after="200" w:before="0"/>
        <w:jc w:val="center"/>
      </w:pPr>
      <w:r>
        <w:rPr>
          <w:rFonts w:ascii="Arial" w:cs="Arial" w:eastAsia="Arial" w:hAnsi="Arial"/>
          <w:b/>
          <w:bCs/>
          <w:sz w:val="40"/>
          <w:szCs w:val="40"/>
        </w:rPr>
        <w:t xml:space="preserve">Meteorage</w:t>
      </w:r>
    </w:p>
    <w:p>
      <w:pPr>
        <w:pBdr>
          <w:bottom w:val="single" w:color="000000" w:sz="4"/>
        </w:pBdr>
        <w:spacing w:after="80" w:before="80"/>
      </w:pPr>
      <w:r>
        <w:t xml:space="preserve"/>
      </w:r>
    </w:p>
    <w:p>
      <w:pPr>
        <w:spacing w:after="100" w:before="200"/>
        <w:jc w:val="center"/>
      </w:pPr>
      <w:r>
        <w:rPr>
          <w:rFonts w:ascii="Arial" w:cs="Arial" w:eastAsia="Arial" w:hAnsi="Arial"/>
          <w:b/>
          <w:bCs/>
          <w:sz w:val="36"/>
          <w:szCs w:val="36"/>
        </w:rPr>
        <w:t xml:space="preserve">Prediction probabiliste de la fin d'un orage</w:t>
      </w:r>
    </w:p>
    <w:p>
      <w:pPr>
        <w:spacing w:after="400" w:before="100"/>
        <w:jc w:val="center"/>
      </w:pPr>
      <w:r>
        <w:rPr>
          <w:rFonts w:ascii="Arial" w:cs="Arial" w:eastAsia="Arial" w:hAnsi="Arial"/>
          <w:i/>
          <w:iCs/>
          <w:sz w:val="26"/>
          <w:szCs w:val="26"/>
        </w:rPr>
        <w:t xml:space="preserve">Analyse spatio-temporelle des eclairs autour de cinq aeroports europeens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800"/>
        <w:gridCol w:w="3400"/>
      </w:tblGrid>
      <w:tr>
        <w:trPr>
          <w:tblHeader/>
        </w:trPr>
        <w:tc>
          <w:tcPr>
            <w:tcW w:type="dxa" w:w="3800"/>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pPr>
              <w:jc w:val="left"/>
            </w:pPr>
            <w:r>
              <w:rPr>
                <w:rFonts w:ascii="Arial" w:cs="Arial" w:eastAsia="Arial" w:hAnsi="Arial"/>
                <w:b/>
                <w:bCs/>
                <w:sz w:val="18"/>
                <w:szCs w:val="18"/>
              </w:rPr>
              <w:t xml:space="preserve">Metrique</w:t>
            </w:r>
          </w:p>
        </w:tc>
        <w:tc>
          <w:tcPr>
            <w:tcW w:type="dxa" w:w="3400"/>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pPr>
              <w:jc w:val="center"/>
            </w:pPr>
            <w:r>
              <w:rPr>
                <w:rFonts w:ascii="Arial" w:cs="Arial" w:eastAsia="Arial" w:hAnsi="Arial"/>
                <w:b/>
                <w:bCs/>
                <w:sz w:val="18"/>
                <w:szCs w:val="18"/>
              </w:rPr>
              <w:t xml:space="preserve">Resultat</w:t>
            </w:r>
          </w:p>
        </w:tc>
      </w:tr>
      <w:tr>
        <w:tc>
          <w:tcPr>
            <w:tcW w:type="dxa" w:w="3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AUC (cross-validation GroupKFold)</w:t>
            </w:r>
          </w:p>
        </w:tc>
        <w:tc>
          <w:tcPr>
            <w:tcW w:type="dxa" w:w="3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bCs/>
                <w:sz w:val="18"/>
                <w:szCs w:val="18"/>
              </w:rPr>
              <w:t xml:space="preserve">0.9328 +/- 0.003</w:t>
            </w:r>
          </w:p>
        </w:tc>
      </w:tr>
      <w:tr>
        <w:tc>
          <w:tcPr>
            <w:tcW w:type="dxa" w:w="3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F1-score optimal</w:t>
            </w:r>
          </w:p>
        </w:tc>
        <w:tc>
          <w:tcPr>
            <w:tcW w:type="dxa" w:w="3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bCs/>
                <w:sz w:val="18"/>
                <w:szCs w:val="18"/>
              </w:rPr>
              <w:t xml:space="preserve">0.433</w:t>
            </w:r>
          </w:p>
        </w:tc>
      </w:tr>
      <w:tr>
        <w:tc>
          <w:tcPr>
            <w:tcW w:type="dxa" w:w="3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Gain temporel (evaluation 2023-2025)</w:t>
            </w:r>
          </w:p>
        </w:tc>
        <w:tc>
          <w:tcPr>
            <w:tcW w:type="dxa" w:w="3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bCs/>
                <w:sz w:val="18"/>
                <w:szCs w:val="18"/>
              </w:rPr>
              <w:t xml:space="preserve">213.8 heures</w:t>
            </w:r>
          </w:p>
        </w:tc>
      </w:tr>
      <w:tr>
        <w:tc>
          <w:tcPr>
            <w:tcW w:type="dxa" w:w="3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Risque (eclairs dangereux manques)</w:t>
            </w:r>
          </w:p>
        </w:tc>
        <w:tc>
          <w:tcPr>
            <w:tcW w:type="dxa" w:w="3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bCs/>
                <w:sz w:val="18"/>
                <w:szCs w:val="18"/>
              </w:rPr>
              <w:t xml:space="preserve">1.15% (&lt; 2%)</w:t>
            </w:r>
          </w:p>
        </w:tc>
      </w:tr>
      <w:tr>
        <w:tc>
          <w:tcPr>
            <w:tcW w:type="dxa" w:w="3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Baseline Meteorage (methodes statistiques)</w:t>
            </w:r>
          </w:p>
        </w:tc>
        <w:tc>
          <w:tcPr>
            <w:tcW w:type="dxa" w:w="3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80.77% accuracy</w:t>
            </w:r>
          </w:p>
        </w:tc>
      </w:tr>
    </w:tbl>
    <w:p>
      <w:pPr>
        <w:spacing w:before="600"/>
        <w:jc w:val="center"/>
      </w:pPr>
      <w:r>
        <w:rPr>
          <w:rFonts w:ascii="Arial" w:cs="Arial" w:eastAsia="Arial" w:hAnsi="Arial"/>
          <w:sz w:val="22"/>
          <w:szCs w:val="22"/>
        </w:rPr>
        <w:t xml:space="preserve">26 mars 2026</w:t>
      </w:r>
    </w:p>
    <w:p>
      <w:r>
        <w:br w:type="page"/>
      </w:r>
    </w:p>
    <w:p>
      <w:pPr>
        <w:pStyle w:val="Heading1"/>
      </w:pPr>
      <w:r>
        <w:rPr>
          <w:rFonts w:ascii="Arial" w:cs="Arial" w:eastAsia="Arial" w:hAnsi="Arial"/>
          <w:b/>
          <w:bCs/>
          <w:sz w:val="32"/>
          <w:szCs w:val="32"/>
        </w:rPr>
        <w:t xml:space="preserve">Table des matieres</w:t>
      </w:r>
    </w:p>
    <w:sdt>
      <w:sdtPr>
        <w:alias w:val="Table des matiere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rFonts w:ascii="Arial" w:cs="Arial" w:eastAsia="Arial" w:hAnsi="Arial"/>
          <w:b/>
          <w:bCs/>
          <w:sz w:val="32"/>
          <w:szCs w:val="32"/>
        </w:rPr>
        <w:t xml:space="preserve">1. Contexte et objectifs</w:t>
      </w:r>
    </w:p>
    <w:p>
      <w:pPr>
        <w:spacing w:after="100" w:before="80"/>
        <w:jc w:val="both"/>
      </w:pPr>
      <w:r>
        <w:rPr>
          <w:rFonts w:ascii="Arial" w:cs="Arial" w:eastAsia="Arial" w:hAnsi="Arial"/>
          <w:sz w:val="22"/>
          <w:szCs w:val="22"/>
        </w:rPr>
        <w:t xml:space="preserve">Les aeroports europeens sont periodiquement contraints d'interrompre leurs operations au sol lors d'orages. La reglementation impose le maintien d'une alerte pendant une duree fixe de 30 a 60 minutes apres le dernier eclair detecte dans la zone de surveillance. Cette regle, bien que prudente, engendre des immobilisations systematiques qui representent plusieurs centaines d'heures d'exploitation perdues chaque annee.</w:t>
      </w:r>
    </w:p>
    <w:p>
      <w:pPr>
        <w:spacing w:after="100" w:before="80"/>
        <w:jc w:val="both"/>
      </w:pPr>
      <w:r>
        <w:rPr>
          <w:rFonts w:ascii="Arial" w:cs="Arial" w:eastAsia="Arial" w:hAnsi="Arial"/>
          <w:sz w:val="22"/>
          <w:szCs w:val="22"/>
        </w:rPr>
        <w:t xml:space="preserve">L'objectif de ce projet est de construire un modele probabiliste capable d'estimer, en temps reel et pour chaque eclair nuage-sol (CG) observe, la probabilite qu'il soit le dernier de l'alerte en cours. En identifiant de maniere fiable la fin reelle d'un orage, il devient possible de reduire le temps d'immobilisation tout en maintenant un niveau de risque acceptable, quantifie ici par la proportion d'eclairs dangereux manques apres la levee d'alerte.</w:t>
      </w:r>
    </w:p>
    <w:p>
      <w:pPr>
        <w:pStyle w:val="Heading2"/>
        <w:spacing w:after="120" w:before="220"/>
      </w:pPr>
      <w:r>
        <w:rPr>
          <w:rFonts w:ascii="Arial" w:cs="Arial" w:eastAsia="Arial" w:hAnsi="Arial"/>
          <w:b/>
          <w:bCs/>
          <w:sz w:val="26"/>
          <w:szCs w:val="26"/>
        </w:rPr>
        <w:t xml:space="preserve">1.1 Donnees fournies par Meteorage</w:t>
      </w:r>
    </w:p>
    <w:p>
      <w:pPr>
        <w:spacing w:after="100" w:before="80"/>
        <w:jc w:val="both"/>
      </w:pPr>
      <w:r>
        <w:rPr>
          <w:rFonts w:ascii="Arial" w:cs="Arial" w:eastAsia="Arial" w:hAnsi="Arial"/>
          <w:sz w:val="22"/>
          <w:szCs w:val="22"/>
        </w:rPr>
        <w:t xml:space="preserve">Les donnees sont issues du reseau de detection de foudre Meteorage et portent sur cinq aeroports europeens dans un rayon de 30 km. Chaque ligne du fichier correspond a un eclair detecte, caracterise par les colonnes suivantes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426"/>
      </w:tblGrid>
      <w:tr>
        <w:trPr>
          <w:tblHeader/>
        </w:trPr>
        <w:tc>
          <w:tcPr>
            <w:tcW w:type="dxa" w:w="2200"/>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pPr>
              <w:jc w:val="left"/>
            </w:pPr>
            <w:r>
              <w:rPr>
                <w:rFonts w:ascii="Arial" w:cs="Arial" w:eastAsia="Arial" w:hAnsi="Arial"/>
                <w:b/>
                <w:bCs/>
                <w:sz w:val="18"/>
                <w:szCs w:val="18"/>
              </w:rPr>
              <w:t xml:space="preserve">Colonne</w:t>
            </w:r>
          </w:p>
        </w:tc>
        <w:tc>
          <w:tcPr>
            <w:tcW w:type="dxa" w:w="1400"/>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pPr>
              <w:jc w:val="left"/>
            </w:pPr>
            <w:r>
              <w:rPr>
                <w:rFonts w:ascii="Arial" w:cs="Arial" w:eastAsia="Arial" w:hAnsi="Arial"/>
                <w:b/>
                <w:bCs/>
                <w:sz w:val="18"/>
                <w:szCs w:val="18"/>
              </w:rPr>
              <w:t xml:space="preserve">Type</w:t>
            </w:r>
          </w:p>
        </w:tc>
        <w:tc>
          <w:tcPr>
            <w:tcW w:type="dxa" w:w="5426"/>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pPr>
              <w:jc w:val="left"/>
            </w:pPr>
            <w:r>
              <w:rPr>
                <w:rFonts w:ascii="Arial" w:cs="Arial" w:eastAsia="Arial" w:hAnsi="Arial"/>
                <w:b/>
                <w:bCs/>
                <w:sz w:val="18"/>
                <w:szCs w:val="18"/>
              </w:rPr>
              <w:t xml:space="preserve">Description</w:t>
            </w:r>
          </w:p>
        </w:tc>
      </w:tr>
      <w:tr>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date</w:t>
            </w:r>
          </w:p>
        </w:tc>
        <w:tc>
          <w:tcPr>
            <w:tcW w:type="dxa" w:w="1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horodatage</w:t>
            </w:r>
          </w:p>
        </w:tc>
        <w:tc>
          <w:tcPr>
            <w:tcW w:type="dxa" w:w="54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Date et heure UTC de l'eclair</w:t>
            </w:r>
          </w:p>
        </w:tc>
      </w:tr>
      <w:tr>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lon / lat</w:t>
            </w:r>
          </w:p>
        </w:tc>
        <w:tc>
          <w:tcPr>
            <w:tcW w:type="dxa" w:w="1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flottant</w:t>
            </w:r>
          </w:p>
        </w:tc>
        <w:tc>
          <w:tcPr>
            <w:tcW w:type="dxa" w:w="54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Coordonnees geographiques (WGS84)</w:t>
            </w:r>
          </w:p>
        </w:tc>
      </w:tr>
      <w:tr>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amplitude</w:t>
            </w:r>
          </w:p>
        </w:tc>
        <w:tc>
          <w:tcPr>
            <w:tcW w:type="dxa" w:w="1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kA</w:t>
            </w:r>
          </w:p>
        </w:tc>
        <w:tc>
          <w:tcPr>
            <w:tcW w:type="dxa" w:w="54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Intensite du courant (negatif = polarite negative)</w:t>
            </w:r>
          </w:p>
        </w:tc>
      </w:tr>
      <w:tr>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maxis</w:t>
            </w:r>
          </w:p>
        </w:tc>
        <w:tc>
          <w:tcPr>
            <w:tcW w:type="dxa" w:w="1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kA</w:t>
            </w:r>
          </w:p>
        </w:tc>
        <w:tc>
          <w:tcPr>
            <w:tcW w:type="dxa" w:w="54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Courant crete instantane</w:t>
            </w:r>
          </w:p>
        </w:tc>
      </w:tr>
      <w:tr>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icloud</w:t>
            </w:r>
          </w:p>
        </w:tc>
        <w:tc>
          <w:tcPr>
            <w:tcW w:type="dxa" w:w="1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booleen</w:t>
            </w:r>
          </w:p>
        </w:tc>
        <w:tc>
          <w:tcPr>
            <w:tcW w:type="dxa" w:w="54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True = intra-nuage (IC), False = nuage-sol (CG)</w:t>
            </w:r>
          </w:p>
        </w:tc>
      </w:tr>
      <w:tr>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dist</w:t>
            </w:r>
          </w:p>
        </w:tc>
        <w:tc>
          <w:tcPr>
            <w:tcW w:type="dxa" w:w="1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km</w:t>
            </w:r>
          </w:p>
        </w:tc>
        <w:tc>
          <w:tcPr>
            <w:tcW w:type="dxa" w:w="54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Distance a l'aeroport (0-30 km)</w:t>
            </w:r>
          </w:p>
        </w:tc>
      </w:tr>
      <w:tr>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azimuth</w:t>
            </w:r>
          </w:p>
        </w:tc>
        <w:tc>
          <w:tcPr>
            <w:tcW w:type="dxa" w:w="1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degres</w:t>
            </w:r>
          </w:p>
        </w:tc>
        <w:tc>
          <w:tcPr>
            <w:tcW w:type="dxa" w:w="54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Direction angulaire depuis l'aeroport (0-360 deg)</w:t>
            </w:r>
          </w:p>
        </w:tc>
      </w:tr>
      <w:tr>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airport</w:t>
            </w:r>
          </w:p>
        </w:tc>
        <w:tc>
          <w:tcPr>
            <w:tcW w:type="dxa" w:w="1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texte</w:t>
            </w:r>
          </w:p>
        </w:tc>
        <w:tc>
          <w:tcPr>
            <w:tcW w:type="dxa" w:w="54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Nom de l'aeroport</w:t>
            </w:r>
          </w:p>
        </w:tc>
      </w:tr>
      <w:tr>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airport_alert_id</w:t>
            </w:r>
          </w:p>
        </w:tc>
        <w:tc>
          <w:tcPr>
            <w:tcW w:type="dxa" w:w="1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entier/NaN</w:t>
            </w:r>
          </w:p>
        </w:tc>
        <w:tc>
          <w:tcPr>
            <w:tcW w:type="dxa" w:w="54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Identifiant de l'alerte (NaN si hors alerte)</w:t>
            </w:r>
          </w:p>
        </w:tc>
      </w:tr>
      <w:tr>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is_last_lightning_cloud_ground</w:t>
            </w:r>
          </w:p>
        </w:tc>
        <w:tc>
          <w:tcPr>
            <w:tcW w:type="dxa" w:w="1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bool/NaN</w:t>
            </w:r>
          </w:p>
        </w:tc>
        <w:tc>
          <w:tcPr>
            <w:tcW w:type="dxa" w:w="54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CIBLE : True si dernier eclair CG de l'alerte</w:t>
            </w:r>
          </w:p>
        </w:tc>
      </w:tr>
    </w:tbl>
    <w:p>
      <w:pPr>
        <w:spacing w:after="100" w:before="80"/>
        <w:jc w:val="both"/>
      </w:pPr>
      <w:r>
        <w:rPr>
          <w:rFonts w:ascii="Arial" w:cs="Arial" w:eastAsia="Arial" w:hAnsi="Arial"/>
          <w:sz w:val="22"/>
          <w:szCs w:val="22"/>
        </w:rPr>
        <w:t xml:space="preserve"/>
      </w:r>
    </w:p>
    <w:p>
      <w:pPr>
        <w:pStyle w:val="Heading2"/>
        <w:spacing w:after="120" w:before="220"/>
      </w:pPr>
      <w:r>
        <w:rPr>
          <w:rFonts w:ascii="Arial" w:cs="Arial" w:eastAsia="Arial" w:hAnsi="Arial"/>
          <w:b/>
          <w:bCs/>
          <w:sz w:val="26"/>
          <w:szCs w:val="26"/>
        </w:rPr>
        <w:t xml:space="preserve">1.2 Perimetre des donnees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913"/>
        <w:gridCol w:w="2913"/>
      </w:tblGrid>
      <w:tr>
        <w:trPr>
          <w:tblHeader/>
        </w:trPr>
        <w:tc>
          <w:tcPr>
            <w:tcW w:type="dxa" w:w="3200"/>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pPr>
              <w:jc w:val="left"/>
            </w:pPr>
            <w:r>
              <w:rPr>
                <w:rFonts w:ascii="Arial" w:cs="Arial" w:eastAsia="Arial" w:hAnsi="Arial"/>
                <w:b/>
                <w:bCs/>
                <w:sz w:val="18"/>
                <w:szCs w:val="18"/>
              </w:rPr>
              <w:t xml:space="preserve"/>
            </w:r>
          </w:p>
        </w:tc>
        <w:tc>
          <w:tcPr>
            <w:tcW w:type="dxa" w:w="2913"/>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pPr>
              <w:jc w:val="center"/>
            </w:pPr>
            <w:r>
              <w:rPr>
                <w:rFonts w:ascii="Arial" w:cs="Arial" w:eastAsia="Arial" w:hAnsi="Arial"/>
                <w:b/>
                <w:bCs/>
                <w:sz w:val="18"/>
                <w:szCs w:val="18"/>
              </w:rPr>
              <w:t xml:space="preserve">Train (2016-2022)</w:t>
            </w:r>
          </w:p>
        </w:tc>
        <w:tc>
          <w:tcPr>
            <w:tcW w:type="dxa" w:w="2913"/>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pPr>
              <w:jc w:val="center"/>
            </w:pPr>
            <w:r>
              <w:rPr>
                <w:rFonts w:ascii="Arial" w:cs="Arial" w:eastAsia="Arial" w:hAnsi="Arial"/>
                <w:b/>
                <w:bCs/>
                <w:sz w:val="18"/>
                <w:szCs w:val="18"/>
              </w:rPr>
              <w:t xml:space="preserve">Evaluation (2023-2025)</w:t>
            </w:r>
          </w:p>
        </w:tc>
      </w:tr>
      <w:tr>
        <w:tc>
          <w:tcPr>
            <w:tcW w:type="dxa" w:w="3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Eclairs totaux</w:t>
            </w:r>
          </w:p>
        </w:tc>
        <w:tc>
          <w:tcPr>
            <w:tcW w:type="dxa" w:w="29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507 071</w:t>
            </w:r>
          </w:p>
        </w:tc>
        <w:tc>
          <w:tcPr>
            <w:tcW w:type="dxa" w:w="29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188 175</w:t>
            </w:r>
          </w:p>
        </w:tc>
      </w:tr>
      <w:tr>
        <w:tc>
          <w:tcPr>
            <w:tcW w:type="dxa" w:w="3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Alertes labellisees</w:t>
            </w:r>
          </w:p>
        </w:tc>
        <w:tc>
          <w:tcPr>
            <w:tcW w:type="dxa" w:w="29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769</w:t>
            </w:r>
          </w:p>
        </w:tc>
        <w:tc>
          <w:tcPr>
            <w:tcW w:type="dxa" w:w="29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612</w:t>
            </w:r>
          </w:p>
        </w:tc>
      </w:tr>
      <w:tr>
        <w:tc>
          <w:tcPr>
            <w:tcW w:type="dxa" w:w="3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Eclairs en alerte (CG)</w:t>
            </w:r>
          </w:p>
        </w:tc>
        <w:tc>
          <w:tcPr>
            <w:tcW w:type="dxa" w:w="29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56 599</w:t>
            </w:r>
          </w:p>
        </w:tc>
        <w:tc>
          <w:tcPr>
            <w:tcW w:type="dxa" w:w="29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18 010</w:t>
            </w:r>
          </w:p>
        </w:tc>
      </w:tr>
      <w:tr>
        <w:tc>
          <w:tcPr>
            <w:tcW w:type="dxa" w:w="3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Aeroports</w:t>
            </w:r>
          </w:p>
        </w:tc>
        <w:tc>
          <w:tcPr>
            <w:tcW w:type="dxa" w:w="58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Ajaccio, Bastia, Biarritz, Nantes, Pise</w:t>
            </w:r>
          </w:p>
        </w:tc>
      </w:tr>
    </w:tbl>
    <w:p>
      <w:pPr>
        <w:spacing w:after="100" w:before="80"/>
        <w:jc w:val="both"/>
      </w:pPr>
      <w:r>
        <w:rPr>
          <w:rFonts w:ascii="Arial" w:cs="Arial" w:eastAsia="Arial" w:hAnsi="Arial"/>
          <w:sz w:val="22"/>
          <w:szCs w:val="22"/>
        </w:rPr>
        <w:t xml:space="preserve"/>
      </w:r>
    </w:p>
    <w:p>
      <w:pPr>
        <w:pStyle w:val="Heading2"/>
        <w:spacing w:after="120" w:before="220"/>
      </w:pPr>
      <w:r>
        <w:rPr>
          <w:rFonts w:ascii="Arial" w:cs="Arial" w:eastAsia="Arial" w:hAnsi="Arial"/>
          <w:b/>
          <w:bCs/>
          <w:sz w:val="26"/>
          <w:szCs w:val="26"/>
        </w:rPr>
        <w:t xml:space="preserve">1.3 Desequilibre des classes</w:t>
      </w:r>
    </w:p>
    <w:p>
      <w:pPr>
        <w:spacing w:after="100" w:before="80"/>
        <w:jc w:val="both"/>
      </w:pPr>
      <w:r>
        <w:rPr>
          <w:rFonts w:ascii="Arial" w:cs="Arial" w:eastAsia="Arial" w:hAnsi="Arial"/>
          <w:sz w:val="22"/>
          <w:szCs w:val="22"/>
        </w:rPr>
        <w:t xml:space="preserve">La variable cible est fortement desequilibree : parmi les 56 599 eclairs CG labellises en entrainement, 2 627 sont le dernier eclair d'une alerte (classe positive), soit 4,64 %. Ce rapport de 1 pour 20 entre classes constitue le principal defi methodologique du projet.</w:t>
      </w:r>
    </w:p>
    <w:p>
      <w:r>
        <w:br w:type="page"/>
      </w:r>
    </w:p>
    <w:p>
      <w:pPr>
        <w:pStyle w:val="Heading1"/>
        <w:spacing w:after="160" w:before="320"/>
      </w:pPr>
      <w:r>
        <w:rPr>
          <w:rFonts w:ascii="Arial" w:cs="Arial" w:eastAsia="Arial" w:hAnsi="Arial"/>
          <w:b/>
          <w:bCs/>
          <w:sz w:val="32"/>
          <w:szCs w:val="32"/>
        </w:rPr>
        <w:t xml:space="preserve">2. Analyse exploratoire des donnees (EDA)</w:t>
      </w:r>
    </w:p>
    <w:p>
      <w:pPr>
        <w:pStyle w:val="Heading2"/>
        <w:spacing w:after="120" w:before="220"/>
      </w:pPr>
      <w:r>
        <w:rPr>
          <w:rFonts w:ascii="Arial" w:cs="Arial" w:eastAsia="Arial" w:hAnsi="Arial"/>
          <w:b/>
          <w:bCs/>
          <w:sz w:val="26"/>
          <w:szCs w:val="26"/>
        </w:rPr>
        <w:t xml:space="preserve">2.1 Caracteristiques par aeroport</w:t>
      </w:r>
    </w:p>
    <w:p>
      <w:pPr>
        <w:spacing w:after="100" w:before="80"/>
        <w:jc w:val="both"/>
      </w:pPr>
      <w:r>
        <w:rPr>
          <w:rFonts w:ascii="Arial" w:cs="Arial" w:eastAsia="Arial" w:hAnsi="Arial"/>
          <w:sz w:val="22"/>
          <w:szCs w:val="22"/>
        </w:rPr>
        <w:t xml:space="preserve">Les cinq aeroports presentent des profils d'activite orageux distincts, refletant leurs situations geographiques et climatiques respectives. Ajaccio et Bastia, en Corse, enregistrent le volume d'eclairs le plus eleve, attribuable a la convection mediterraneenne intense generee par les reliefs insulaires. Biarritz subit des orages atlantiques de trajectoire ouest-est, tandis que Nantes est soumis a des orages de masse d'air continental plus moderes. Pise se distingue par le ratio IC/CG le plus eleve, caracteristique des cellules orageuses liguro-toscanes.</w:t>
      </w:r>
    </w:p>
    <w:p>
      <w:pPr>
        <w:spacing w:after="60" w:before="120"/>
        <w:jc w:val="center"/>
      </w:pPr>
      <w:r>
        <w:drawing>
          <wp:inline distT="0" distB="0" distL="0" distR="0">
            <wp:extent cx="1085850" cy="504825"/>
            <wp:effectExtent t="0" r="0" b="0" l="0"/>
            <wp:docPr id="1" name="01_airport_analysis.png" descr="01_airport_analysis.png" title="01_airport_analy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85850" cy="504825"/>
                    </a:xfrm>
                    <a:prstGeom prst="rect">
                      <a:avLst/>
                    </a:prstGeom>
                  </pic:spPr>
                </pic:pic>
              </a:graphicData>
            </a:graphic>
          </wp:inline>
        </w:drawing>
      </w:r>
    </w:p>
    <w:p>
      <w:pPr>
        <w:spacing w:after="200" w:before="40"/>
        <w:jc w:val="center"/>
      </w:pPr>
      <w:r>
        <w:rPr>
          <w:rFonts w:ascii="Arial" w:cs="Arial" w:eastAsia="Arial" w:hAnsi="Arial"/>
          <w:i/>
          <w:iCs/>
          <w:sz w:val="18"/>
          <w:szCs w:val="18"/>
        </w:rPr>
        <w:t xml:space="preserve">Figure 1 - Caracteristiques orageux par aeroport : nombre d'eclairs (CG et IC), nombre d'alertes, duree moyenne et distribution de distance.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000"/>
        <w:gridCol w:w="1000"/>
        <w:gridCol w:w="1200"/>
        <w:gridCol w:w="2063"/>
        <w:gridCol w:w="2063"/>
      </w:tblGrid>
      <w:tr>
        <w:trPr>
          <w:tblHeader/>
        </w:trPr>
        <w:tc>
          <w:tcPr>
            <w:tcW w:type="dxa" w:w="1500"/>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pPr>
              <w:jc w:val="left"/>
            </w:pPr>
            <w:r>
              <w:rPr>
                <w:rFonts w:ascii="Arial" w:cs="Arial" w:eastAsia="Arial" w:hAnsi="Arial"/>
                <w:b/>
                <w:bCs/>
                <w:sz w:val="18"/>
                <w:szCs w:val="18"/>
              </w:rPr>
              <w:t xml:space="preserve">Aeroport</w:t>
            </w:r>
          </w:p>
        </w:tc>
        <w:tc>
          <w:tcPr>
            <w:tcW w:type="dxa" w:w="1200"/>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pPr>
              <w:jc w:val="left"/>
            </w:pPr>
            <w:r>
              <w:rPr>
                <w:rFonts w:ascii="Arial" w:cs="Arial" w:eastAsia="Arial" w:hAnsi="Arial"/>
                <w:b/>
                <w:bCs/>
                <w:sz w:val="18"/>
                <w:szCs w:val="18"/>
              </w:rPr>
              <w:t xml:space="preserve">Eclairs</w:t>
            </w:r>
          </w:p>
        </w:tc>
        <w:tc>
          <w:tcPr>
            <w:tcW w:type="dxa" w:w="1000"/>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pPr>
              <w:jc w:val="left"/>
            </w:pPr>
            <w:r>
              <w:rPr>
                <w:rFonts w:ascii="Arial" w:cs="Arial" w:eastAsia="Arial" w:hAnsi="Arial"/>
                <w:b/>
                <w:bCs/>
                <w:sz w:val="18"/>
                <w:szCs w:val="18"/>
              </w:rPr>
              <w:t xml:space="preserve">CG</w:t>
            </w:r>
          </w:p>
        </w:tc>
        <w:tc>
          <w:tcPr>
            <w:tcW w:type="dxa" w:w="1000"/>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pPr>
              <w:jc w:val="left"/>
            </w:pPr>
            <w:r>
              <w:rPr>
                <w:rFonts w:ascii="Arial" w:cs="Arial" w:eastAsia="Arial" w:hAnsi="Arial"/>
                <w:b/>
                <w:bCs/>
                <w:sz w:val="18"/>
                <w:szCs w:val="18"/>
              </w:rPr>
              <w:t xml:space="preserve">IC</w:t>
            </w:r>
          </w:p>
        </w:tc>
        <w:tc>
          <w:tcPr>
            <w:tcW w:type="dxa" w:w="1200"/>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pPr>
              <w:jc w:val="left"/>
            </w:pPr>
            <w:r>
              <w:rPr>
                <w:rFonts w:ascii="Arial" w:cs="Arial" w:eastAsia="Arial" w:hAnsi="Arial"/>
                <w:b/>
                <w:bCs/>
                <w:sz w:val="18"/>
                <w:szCs w:val="18"/>
              </w:rPr>
              <w:t xml:space="preserve">Alertes</w:t>
            </w:r>
          </w:p>
        </w:tc>
        <w:tc>
          <w:tcPr>
            <w:tcW w:type="dxa" w:w="2063"/>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pPr>
              <w:jc w:val="left"/>
            </w:pPr>
            <w:r>
              <w:rPr>
                <w:rFonts w:ascii="Arial" w:cs="Arial" w:eastAsia="Arial" w:hAnsi="Arial"/>
                <w:b/>
                <w:bCs/>
                <w:sz w:val="18"/>
                <w:szCs w:val="18"/>
              </w:rPr>
              <w:t xml:space="preserve">Duree moy. (min)</w:t>
            </w:r>
          </w:p>
        </w:tc>
        <w:tc>
          <w:tcPr>
            <w:tcW w:type="dxa" w:w="2063"/>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pPr>
              <w:jc w:val="left"/>
            </w:pPr>
            <w:r>
              <w:rPr>
                <w:rFonts w:ascii="Arial" w:cs="Arial" w:eastAsia="Arial" w:hAnsi="Arial"/>
                <w:b/>
                <w:bCs/>
                <w:sz w:val="18"/>
                <w:szCs w:val="18"/>
              </w:rPr>
              <w:t xml:space="preserve">Dist. moy. (km)</w:t>
            </w:r>
          </w:p>
        </w:tc>
      </w:tr>
      <w:tr>
        <w:tc>
          <w:tcPr>
            <w:tcW w:type="dxa" w:w="1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Ajaccio</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138 622</w:t>
            </w:r>
          </w:p>
        </w:tc>
        <w:tc>
          <w:tcPr>
            <w:tcW w:type="dxa" w:w="1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40 821</w:t>
            </w:r>
          </w:p>
        </w:tc>
        <w:tc>
          <w:tcPr>
            <w:tcW w:type="dxa" w:w="1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97 801</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530</w:t>
            </w:r>
          </w:p>
        </w:tc>
        <w:tc>
          <w:tcPr>
            <w:tcW w:type="dxa" w:w="206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28.4</w:t>
            </w:r>
          </w:p>
        </w:tc>
        <w:tc>
          <w:tcPr>
            <w:tcW w:type="dxa" w:w="206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19.8</w:t>
            </w:r>
          </w:p>
        </w:tc>
      </w:tr>
      <w:tr>
        <w:tc>
          <w:tcPr>
            <w:tcW w:type="dxa" w:w="1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Bastia</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101 344</w:t>
            </w:r>
          </w:p>
        </w:tc>
        <w:tc>
          <w:tcPr>
            <w:tcW w:type="dxa" w:w="1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29 012</w:t>
            </w:r>
          </w:p>
        </w:tc>
        <w:tc>
          <w:tcPr>
            <w:tcW w:type="dxa" w:w="1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72 332</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532</w:t>
            </w:r>
          </w:p>
        </w:tc>
        <w:tc>
          <w:tcPr>
            <w:tcW w:type="dxa" w:w="206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27.6</w:t>
            </w:r>
          </w:p>
        </w:tc>
        <w:tc>
          <w:tcPr>
            <w:tcW w:type="dxa" w:w="206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20.1</w:t>
            </w:r>
          </w:p>
        </w:tc>
      </w:tr>
      <w:tr>
        <w:tc>
          <w:tcPr>
            <w:tcW w:type="dxa" w:w="1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Biarritz</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112 058</w:t>
            </w:r>
          </w:p>
        </w:tc>
        <w:tc>
          <w:tcPr>
            <w:tcW w:type="dxa" w:w="1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33 901</w:t>
            </w:r>
          </w:p>
        </w:tc>
        <w:tc>
          <w:tcPr>
            <w:tcW w:type="dxa" w:w="1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78 157</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590</w:t>
            </w:r>
          </w:p>
        </w:tc>
        <w:tc>
          <w:tcPr>
            <w:tcW w:type="dxa" w:w="206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31.2</w:t>
            </w:r>
          </w:p>
        </w:tc>
        <w:tc>
          <w:tcPr>
            <w:tcW w:type="dxa" w:w="206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20.4</w:t>
            </w:r>
          </w:p>
        </w:tc>
      </w:tr>
      <w:tr>
        <w:tc>
          <w:tcPr>
            <w:tcW w:type="dxa" w:w="1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Nantes</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81 003</w:t>
            </w:r>
          </w:p>
        </w:tc>
        <w:tc>
          <w:tcPr>
            <w:tcW w:type="dxa" w:w="1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24 810</w:t>
            </w:r>
          </w:p>
        </w:tc>
        <w:tc>
          <w:tcPr>
            <w:tcW w:type="dxa" w:w="1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56 193</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206</w:t>
            </w:r>
          </w:p>
        </w:tc>
        <w:tc>
          <w:tcPr>
            <w:tcW w:type="dxa" w:w="206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30.1</w:t>
            </w:r>
          </w:p>
        </w:tc>
        <w:tc>
          <w:tcPr>
            <w:tcW w:type="dxa" w:w="206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20.0</w:t>
            </w:r>
          </w:p>
        </w:tc>
      </w:tr>
      <w:tr>
        <w:tc>
          <w:tcPr>
            <w:tcW w:type="dxa" w:w="1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Pise</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74 044</w:t>
            </w:r>
          </w:p>
        </w:tc>
        <w:tc>
          <w:tcPr>
            <w:tcW w:type="dxa" w:w="1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22 555</w:t>
            </w:r>
          </w:p>
        </w:tc>
        <w:tc>
          <w:tcPr>
            <w:tcW w:type="dxa" w:w="1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51 489</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769</w:t>
            </w:r>
          </w:p>
        </w:tc>
        <w:tc>
          <w:tcPr>
            <w:tcW w:type="dxa" w:w="206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30.1</w:t>
            </w:r>
          </w:p>
        </w:tc>
        <w:tc>
          <w:tcPr>
            <w:tcW w:type="dxa" w:w="206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20.2</w:t>
            </w:r>
          </w:p>
        </w:tc>
      </w:tr>
    </w:tbl>
    <w:p>
      <w:pPr>
        <w:spacing w:after="100" w:before="80"/>
        <w:jc w:val="both"/>
      </w:pPr>
      <w:r>
        <w:rPr>
          <w:rFonts w:ascii="Arial" w:cs="Arial" w:eastAsia="Arial" w:hAnsi="Arial"/>
          <w:sz w:val="22"/>
          <w:szCs w:val="22"/>
        </w:rPr>
        <w:t xml:space="preserve"/>
      </w:r>
    </w:p>
    <w:p>
      <w:pPr>
        <w:pStyle w:val="Heading2"/>
        <w:spacing w:after="120" w:before="220"/>
      </w:pPr>
      <w:r>
        <w:rPr>
          <w:rFonts w:ascii="Arial" w:cs="Arial" w:eastAsia="Arial" w:hAnsi="Arial"/>
          <w:b/>
          <w:bCs/>
          <w:sz w:val="26"/>
          <w:szCs w:val="26"/>
        </w:rPr>
        <w:t xml:space="preserve">2.2 Saisonnalite et patterns temporels</w:t>
      </w:r>
    </w:p>
    <w:p>
      <w:pPr>
        <w:spacing w:after="100" w:before="80"/>
        <w:jc w:val="both"/>
      </w:pPr>
      <w:r>
        <w:rPr>
          <w:rFonts w:ascii="Arial" w:cs="Arial" w:eastAsia="Arial" w:hAnsi="Arial"/>
          <w:sz w:val="22"/>
          <w:szCs w:val="22"/>
        </w:rPr>
        <w:t xml:space="preserve">L'analyse temporelle met en evidence une saisonnalite estivale marquee, commune a tous les aeroports. Environ 68 % des eclairs sont enregistres entre juin et septembre. Le pic d'activite journalier se situe entre 14h et 18h UTC, cohérent avec la convection thermique diurne. La duree mediane d'une alerte est de 18 minutes, tandis que la moyenne, plus elevee (30 minutes), temoigne d'une distribution asymetrique vers les alertes longues.</w:t>
      </w:r>
    </w:p>
    <w:p>
      <w:pPr>
        <w:spacing w:after="60" w:before="120"/>
        <w:jc w:val="center"/>
      </w:pPr>
      <w:r>
        <w:drawing>
          <wp:inline distT="0" distB="0" distL="0" distR="0">
            <wp:extent cx="952500" cy="514350"/>
            <wp:effectExtent t="0" r="0" b="0" l="0"/>
            <wp:docPr id="1" name="02_temporal_analysis.png" descr="02_temporal_analysis.png" title="02_temporal_analy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52500" cy="514350"/>
                    </a:xfrm>
                    <a:prstGeom prst="rect">
                      <a:avLst/>
                    </a:prstGeom>
                  </pic:spPr>
                </pic:pic>
              </a:graphicData>
            </a:graphic>
          </wp:inline>
        </w:drawing>
      </w:r>
    </w:p>
    <w:p>
      <w:pPr>
        <w:spacing w:after="200" w:before="40"/>
        <w:jc w:val="center"/>
      </w:pPr>
      <w:r>
        <w:rPr>
          <w:rFonts w:ascii="Arial" w:cs="Arial" w:eastAsia="Arial" w:hAnsi="Arial"/>
          <w:i/>
          <w:iCs/>
          <w:sz w:val="18"/>
          <w:szCs w:val="18"/>
        </w:rPr>
        <w:t xml:space="preserve">Figure 2 - Distribution temporelle des eclairs : saisonnalite mensuelle et repartition horaire par aeroport.</w:t>
      </w:r>
    </w:p>
    <w:p>
      <w:pPr>
        <w:pStyle w:val="Heading2"/>
        <w:spacing w:after="120" w:before="220"/>
      </w:pPr>
      <w:r>
        <w:rPr>
          <w:rFonts w:ascii="Arial" w:cs="Arial" w:eastAsia="Arial" w:hAnsi="Arial"/>
          <w:b/>
          <w:bCs/>
          <w:sz w:val="26"/>
          <w:szCs w:val="26"/>
        </w:rPr>
        <w:t xml:space="preserve">2.3 Structure des alertes</w:t>
      </w:r>
    </w:p>
    <w:p>
      <w:pPr>
        <w:spacing w:after="100" w:before="80"/>
        <w:jc w:val="both"/>
      </w:pPr>
      <w:r>
        <w:rPr>
          <w:rFonts w:ascii="Arial" w:cs="Arial" w:eastAsia="Arial" w:hAnsi="Arial"/>
          <w:sz w:val="22"/>
          <w:szCs w:val="22"/>
        </w:rPr>
        <w:t xml:space="preserve">L'analyse de la structure interne des alertes revele que la mediane du nombre d'eclairs CG par alerte est de 15 eclairs, avec une forte dispersion vers les valeurs elevees (certaines alertes depassent 200 eclairs). Cette variabilite illustre la diversite des regimes orageux couverts.</w:t>
      </w:r>
    </w:p>
    <w:p>
      <w:pPr>
        <w:spacing w:after="60" w:before="120"/>
        <w:jc w:val="center"/>
      </w:pPr>
      <w:r>
        <w:drawing>
          <wp:inline distT="0" distB="0" distL="0" distR="0">
            <wp:extent cx="1085850" cy="504825"/>
            <wp:effectExtent t="0" r="0" b="0" l="0"/>
            <wp:docPr id="1" name="03_alert_analysis.png" descr="03_alert_analysis.png" title="03_alert_analy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85850" cy="504825"/>
                    </a:xfrm>
                    <a:prstGeom prst="rect">
                      <a:avLst/>
                    </a:prstGeom>
                  </pic:spPr>
                </pic:pic>
              </a:graphicData>
            </a:graphic>
          </wp:inline>
        </w:drawing>
      </w:r>
    </w:p>
    <w:p>
      <w:pPr>
        <w:spacing w:after="200" w:before="40"/>
        <w:jc w:val="center"/>
      </w:pPr>
      <w:r>
        <w:rPr>
          <w:rFonts w:ascii="Arial" w:cs="Arial" w:eastAsia="Arial" w:hAnsi="Arial"/>
          <w:i/>
          <w:iCs/>
          <w:sz w:val="18"/>
          <w:szCs w:val="18"/>
        </w:rPr>
        <w:t xml:space="preserve">Figure 3 - Distribution de la duree des alertes, du nombre d'eclairs par alerte et de l'activite au cours du temps.</w:t>
      </w:r>
    </w:p>
    <w:p>
      <w:pPr>
        <w:pStyle w:val="Heading2"/>
        <w:spacing w:after="120" w:before="220"/>
      </w:pPr>
      <w:r>
        <w:rPr>
          <w:rFonts w:ascii="Arial" w:cs="Arial" w:eastAsia="Arial" w:hAnsi="Arial"/>
          <w:b/>
          <w:bCs/>
          <w:sz w:val="26"/>
          <w:szCs w:val="26"/>
        </w:rPr>
        <w:t xml:space="preserve">2.4 Distribution spatiale</w:t>
      </w:r>
    </w:p>
    <w:p>
      <w:pPr>
        <w:spacing w:after="100" w:before="80"/>
        <w:jc w:val="both"/>
      </w:pPr>
      <w:r>
        <w:rPr>
          <w:rFonts w:ascii="Arial" w:cs="Arial" w:eastAsia="Arial" w:hAnsi="Arial"/>
          <w:sz w:val="22"/>
          <w:szCs w:val="22"/>
        </w:rPr>
        <w:t xml:space="preserve">La distribution angulaire des eclairs (azimuth) revele des directions privilegiees propres a chaque aeroport, refletant les trajectoires oraguses predominantes. Ajaccio et Bastia subissent des orages en provenance du nord-ouest (flux mediterraneen), Biarritz de l'ouest (flux atlantique), et Pise du nord-nord-est (couloir ligurien). Cette information directionnelle constitue l'une des features les plus discriminantes du modele.</w:t>
      </w:r>
    </w:p>
    <w:p>
      <w:pPr>
        <w:spacing w:after="60" w:before="120"/>
        <w:jc w:val="center"/>
      </w:pPr>
      <w:r>
        <w:drawing>
          <wp:inline distT="0" distB="0" distL="0" distR="0">
            <wp:extent cx="1514475" cy="238125"/>
            <wp:effectExtent t="0" r="0" b="0" l="0"/>
            <wp:docPr id="1" name="04_spatial_analysis.png" descr="04_spatial_analysis.png" title="04_spatial_analy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514475" cy="238125"/>
                    </a:xfrm>
                    <a:prstGeom prst="rect">
                      <a:avLst/>
                    </a:prstGeom>
                  </pic:spPr>
                </pic:pic>
              </a:graphicData>
            </a:graphic>
          </wp:inline>
        </w:drawing>
      </w:r>
    </w:p>
    <w:p>
      <w:pPr>
        <w:spacing w:after="200" w:before="40"/>
        <w:jc w:val="center"/>
      </w:pPr>
      <w:r>
        <w:rPr>
          <w:rFonts w:ascii="Arial" w:cs="Arial" w:eastAsia="Arial" w:hAnsi="Arial"/>
          <w:i/>
          <w:iCs/>
          <w:sz w:val="18"/>
          <w:szCs w:val="18"/>
        </w:rPr>
        <w:t xml:space="preserve">Figure 4 - Distribution azimutale des eclairs par aeroport et carte de densite des impacts.</w:t>
      </w:r>
    </w:p>
    <w:p>
      <w:pPr>
        <w:pStyle w:val="Heading2"/>
        <w:spacing w:after="120" w:before="220"/>
      </w:pPr>
      <w:r>
        <w:rPr>
          <w:rFonts w:ascii="Arial" w:cs="Arial" w:eastAsia="Arial" w:hAnsi="Arial"/>
          <w:b/>
          <w:bCs/>
          <w:sz w:val="26"/>
          <w:szCs w:val="26"/>
        </w:rPr>
        <w:t xml:space="preserve">2.5 Signaux discriminants du dernier eclair CG</w:t>
      </w:r>
    </w:p>
    <w:p>
      <w:pPr>
        <w:spacing w:after="100" w:before="80"/>
        <w:jc w:val="both"/>
      </w:pPr>
      <w:r>
        <w:rPr>
          <w:rFonts w:ascii="Arial" w:cs="Arial" w:eastAsia="Arial" w:hAnsi="Arial"/>
          <w:sz w:val="22"/>
          <w:szCs w:val="22"/>
        </w:rPr>
        <w:t xml:space="preserve">La comparaison statistique entre le dernier eclair CG d'une alerte et les eclairs non-terminaux met en evidence plusieurs signaux predictifs exploitables. Les observations suivantes ont guide la construction du feature engineering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400"/>
        <w:gridCol w:w="1426"/>
      </w:tblGrid>
      <w:tr>
        <w:trPr>
          <w:tblHeader/>
        </w:trPr>
        <w:tc>
          <w:tcPr>
            <w:tcW w:type="dxa" w:w="3200"/>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pPr>
              <w:jc w:val="left"/>
            </w:pPr>
            <w:r>
              <w:rPr>
                <w:rFonts w:ascii="Arial" w:cs="Arial" w:eastAsia="Arial" w:hAnsi="Arial"/>
                <w:b/>
                <w:bCs/>
                <w:sz w:val="18"/>
                <w:szCs w:val="18"/>
              </w:rPr>
              <w:t xml:space="preserve">Caracteristique</w:t>
            </w:r>
          </w:p>
        </w:tc>
        <w:tc>
          <w:tcPr>
            <w:tcW w:type="dxa" w:w="2000"/>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pPr>
              <w:jc w:val="left"/>
            </w:pPr>
            <w:r>
              <w:rPr>
                <w:rFonts w:ascii="Arial" w:cs="Arial" w:eastAsia="Arial" w:hAnsi="Arial"/>
                <w:b/>
                <w:bCs/>
                <w:sz w:val="18"/>
                <w:szCs w:val="18"/>
              </w:rPr>
              <w:t xml:space="preserve">Eclairs normaux</w:t>
            </w:r>
          </w:p>
        </w:tc>
        <w:tc>
          <w:tcPr>
            <w:tcW w:type="dxa" w:w="2400"/>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pPr>
              <w:jc w:val="left"/>
            </w:pPr>
            <w:r>
              <w:rPr>
                <w:rFonts w:ascii="Arial" w:cs="Arial" w:eastAsia="Arial" w:hAnsi="Arial"/>
                <w:b/>
                <w:bCs/>
                <w:sz w:val="18"/>
                <w:szCs w:val="18"/>
              </w:rPr>
              <w:t xml:space="preserve">Dernier eclair CG</w:t>
            </w:r>
          </w:p>
        </w:tc>
        <w:tc>
          <w:tcPr>
            <w:tcW w:type="dxa" w:w="1426"/>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pPr>
              <w:jc w:val="center"/>
            </w:pPr>
            <w:r>
              <w:rPr>
                <w:rFonts w:ascii="Arial" w:cs="Arial" w:eastAsia="Arial" w:hAnsi="Arial"/>
                <w:b/>
                <w:bCs/>
                <w:sz w:val="18"/>
                <w:szCs w:val="18"/>
              </w:rPr>
              <w:t xml:space="preserve">Ecart</w:t>
            </w:r>
          </w:p>
        </w:tc>
      </w:tr>
      <w:tr>
        <w:tc>
          <w:tcPr>
            <w:tcW w:type="dxa" w:w="3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Temps inter-eclairs moyen</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~45 s</w:t>
            </w:r>
          </w:p>
        </w:tc>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~120 s</w:t>
            </w:r>
          </w:p>
        </w:tc>
        <w:tc>
          <w:tcPr>
            <w:tcW w:type="dxa" w:w="14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bCs/>
                <w:sz w:val="18"/>
                <w:szCs w:val="18"/>
              </w:rPr>
              <w:t xml:space="preserve">+167%</w:t>
            </w:r>
          </w:p>
        </w:tc>
      </w:tr>
      <w:tr>
        <w:tc>
          <w:tcPr>
            <w:tcW w:type="dxa" w:w="3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Distance a l'aeroport</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20.2 km</w:t>
            </w:r>
          </w:p>
        </w:tc>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22.8 km</w:t>
            </w:r>
          </w:p>
        </w:tc>
        <w:tc>
          <w:tcPr>
            <w:tcW w:type="dxa" w:w="14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+13%</w:t>
            </w:r>
          </w:p>
        </w:tc>
      </w:tr>
      <w:tr>
        <w:tc>
          <w:tcPr>
            <w:tcW w:type="dxa" w:w="3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Amplitude |kA| moyenne</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12.4 kA</w:t>
            </w:r>
          </w:p>
        </w:tc>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10.1 kA</w:t>
            </w:r>
          </w:p>
        </w:tc>
        <w:tc>
          <w:tcPr>
            <w:tcW w:type="dxa" w:w="14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-19%</w:t>
            </w:r>
          </w:p>
        </w:tc>
      </w:tr>
      <w:tr>
        <w:tc>
          <w:tcPr>
            <w:tcW w:type="dxa" w:w="3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Ratio IC / (IC+CG) sur 5 min</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0.78</w:t>
            </w:r>
          </w:p>
        </w:tc>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0.85</w:t>
            </w:r>
          </w:p>
        </w:tc>
        <w:tc>
          <w:tcPr>
            <w:tcW w:type="dxa" w:w="14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+9%</w:t>
            </w:r>
          </w:p>
        </w:tc>
      </w:tr>
      <w:tr>
        <w:tc>
          <w:tcPr>
            <w:tcW w:type="dxa" w:w="3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Densite CG (10 derniers min)</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4.2 eclairs/min</w:t>
            </w:r>
          </w:p>
        </w:tc>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0.8 eclairs/min</w:t>
            </w:r>
          </w:p>
        </w:tc>
        <w:tc>
          <w:tcPr>
            <w:tcW w:type="dxa" w:w="14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bCs/>
                <w:sz w:val="18"/>
                <w:szCs w:val="18"/>
              </w:rPr>
              <w:t xml:space="preserve">-81%</w:t>
            </w:r>
          </w:p>
        </w:tc>
      </w:tr>
    </w:tbl>
    <w:p>
      <w:pPr>
        <w:spacing w:after="100" w:before="80"/>
        <w:jc w:val="both"/>
      </w:pPr>
      <w:r>
        <w:rPr>
          <w:rFonts w:ascii="Arial" w:cs="Arial" w:eastAsia="Arial" w:hAnsi="Arial"/>
          <w:sz w:val="22"/>
          <w:szCs w:val="22"/>
        </w:rPr>
        <w:t xml:space="preserve"/>
      </w:r>
    </w:p>
    <w:p>
      <w:pPr>
        <w:spacing w:after="100" w:before="80"/>
        <w:jc w:val="both"/>
      </w:pPr>
      <w:r>
        <w:rPr>
          <w:rFonts w:ascii="Arial" w:cs="Arial" w:eastAsia="Arial" w:hAnsi="Arial"/>
          <w:sz w:val="22"/>
          <w:szCs w:val="22"/>
        </w:rPr>
        <w:t xml:space="preserve">Ces observations sont physiquement interpretables : vers la fin d'un orage, l'activite convective s'affaiblit, les decharges electriques s'espacent, le systeme nuageux se deplace et le rapport IC/CG croit. Ces tendances constituent les signaux que le modele apprend a detecter.</w:t>
      </w:r>
    </w:p>
    <w:p>
      <w:pPr>
        <w:spacing w:after="60" w:before="120"/>
        <w:jc w:val="center"/>
      </w:pPr>
      <w:r>
        <w:drawing>
          <wp:inline distT="0" distB="0" distL="0" distR="0">
            <wp:extent cx="1085850" cy="504825"/>
            <wp:effectExtent t="0" r="0" b="0" l="0"/>
            <wp:docPr id="1" name="05_last_lightning_analysis.png" descr="05_last_lightning_analysis.png" title="05_last_lightning_analy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085850" cy="504825"/>
                    </a:xfrm>
                    <a:prstGeom prst="rect">
                      <a:avLst/>
                    </a:prstGeom>
                  </pic:spPr>
                </pic:pic>
              </a:graphicData>
            </a:graphic>
          </wp:inline>
        </w:drawing>
      </w:r>
    </w:p>
    <w:p>
      <w:pPr>
        <w:spacing w:after="200" w:before="40"/>
        <w:jc w:val="center"/>
      </w:pPr>
      <w:r>
        <w:rPr>
          <w:rFonts w:ascii="Arial" w:cs="Arial" w:eastAsia="Arial" w:hAnsi="Arial"/>
          <w:i/>
          <w:iCs/>
          <w:sz w:val="18"/>
          <w:szCs w:val="18"/>
        </w:rPr>
        <w:t xml:space="preserve">Figure 5 - Comparaison des distributions du dernier eclair CG versus les eclairs non-terminaux (temps inter-eclairs, distance, amplitude).</w:t>
      </w:r>
    </w:p>
    <w:p>
      <w:pPr>
        <w:spacing w:after="60" w:before="120"/>
        <w:jc w:val="center"/>
      </w:pPr>
      <w:r>
        <w:drawing>
          <wp:inline distT="0" distB="0" distL="0" distR="0">
            <wp:extent cx="1514475" cy="257175"/>
            <wp:effectExtent t="0" r="0" b="0" l="0"/>
            <wp:docPr id="1" name="06_alert_examples.png" descr="06_alert_examples.png" title="06_alert_examp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14475" cy="257175"/>
                    </a:xfrm>
                    <a:prstGeom prst="rect">
                      <a:avLst/>
                    </a:prstGeom>
                  </pic:spPr>
                </pic:pic>
              </a:graphicData>
            </a:graphic>
          </wp:inline>
        </w:drawing>
      </w:r>
    </w:p>
    <w:p>
      <w:pPr>
        <w:spacing w:after="200" w:before="40"/>
        <w:jc w:val="center"/>
      </w:pPr>
      <w:r>
        <w:rPr>
          <w:rFonts w:ascii="Arial" w:cs="Arial" w:eastAsia="Arial" w:hAnsi="Arial"/>
          <w:i/>
          <w:iCs/>
          <w:sz w:val="18"/>
          <w:szCs w:val="18"/>
        </w:rPr>
        <w:t xml:space="preserve">Figure 6 - Exemples d'alertes annotees : evolution temporelle du score de confiance et du contexte IC/CG.</w:t>
      </w:r>
    </w:p>
    <w:p>
      <w:r>
        <w:br w:type="page"/>
      </w:r>
    </w:p>
    <w:p>
      <w:pPr>
        <w:pStyle w:val="Heading1"/>
        <w:spacing w:after="160" w:before="320"/>
      </w:pPr>
      <w:r>
        <w:rPr>
          <w:rFonts w:ascii="Arial" w:cs="Arial" w:eastAsia="Arial" w:hAnsi="Arial"/>
          <w:b/>
          <w:bCs/>
          <w:sz w:val="32"/>
          <w:szCs w:val="32"/>
        </w:rPr>
        <w:t xml:space="preserve">3. Feature Engineering</w:t>
      </w:r>
    </w:p>
    <w:p>
      <w:pPr>
        <w:spacing w:after="100" w:before="80"/>
        <w:jc w:val="both"/>
      </w:pPr>
      <w:r>
        <w:rPr>
          <w:rFonts w:ascii="Arial" w:cs="Arial" w:eastAsia="Arial" w:hAnsi="Arial"/>
          <w:sz w:val="22"/>
          <w:szCs w:val="22"/>
        </w:rPr>
        <w:t xml:space="preserve">L'ingenierie des variables represente la contribution methodologique centrale de ce travail. La contrainte fondamentale est la causalite stricte : chaque feature ne peut utiliser que les informations disponibles au moment t, sans aucune connaissance des eclairs futurs. Cette contrainte exclut en particulier les variables suivantes, qui ont genere une fuite de donnees (data leakage) lors des premieres experimentations :</w:t>
      </w:r>
    </w:p>
    <w:p>
      <w:pPr>
        <w:pStyle w:val="ListParagraph"/>
        <w:numPr>
          <w:ilvl w:val="0"/>
          <w:numId w:val="2"/>
        </w:numPr>
        <w:spacing w:after="40" w:before="40"/>
      </w:pPr>
      <w:r>
        <w:rPr>
          <w:rFonts w:ascii="Arial" w:cs="Arial" w:eastAsia="Arial" w:hAnsi="Arial"/>
          <w:sz w:val="22"/>
          <w:szCs w:val="22"/>
        </w:rPr>
        <w:t xml:space="preserve">total_in_alert : nombre total d'eclairs de l'alerte - inconnu en temps reel</w:t>
      </w:r>
    </w:p>
    <w:p>
      <w:pPr>
        <w:pStyle w:val="ListParagraph"/>
        <w:numPr>
          <w:ilvl w:val="0"/>
          <w:numId w:val="2"/>
        </w:numPr>
        <w:spacing w:after="40" w:before="40"/>
      </w:pPr>
      <w:r>
        <w:rPr>
          <w:rFonts w:ascii="Arial" w:cs="Arial" w:eastAsia="Arial" w:hAnsi="Arial"/>
          <w:sz w:val="22"/>
          <w:szCs w:val="22"/>
        </w:rPr>
        <w:t xml:space="preserve">rel_pos = rank / total : position relative dans l'alerte - utilise le total futur</w:t>
      </w:r>
    </w:p>
    <w:p>
      <w:pPr>
        <w:pStyle w:val="ListParagraph"/>
        <w:numPr>
          <w:ilvl w:val="0"/>
          <w:numId w:val="2"/>
        </w:numPr>
        <w:spacing w:after="40" w:before="40"/>
      </w:pPr>
      <w:r>
        <w:rPr>
          <w:rFonts w:ascii="Arial" w:cs="Arial" w:eastAsia="Arial" w:hAnsi="Arial"/>
          <w:sz w:val="22"/>
          <w:szCs w:val="22"/>
        </w:rPr>
        <w:t xml:space="preserve">remaining = total - rank - 1 : vaut exactement 0 pour le dernier eclair - predicteur parfait mais frauduleux</w:t>
      </w:r>
    </w:p>
    <w:p>
      <w:pPr>
        <w:spacing w:after="100" w:before="80"/>
        <w:jc w:val="both"/>
      </w:pPr>
      <w:r>
        <w:rPr>
          <w:rFonts w:ascii="Arial" w:cs="Arial" w:eastAsia="Arial" w:hAnsi="Arial"/>
          <w:sz w:val="22"/>
          <w:szCs w:val="22"/>
        </w:rPr>
        <w:t xml:space="preserve">La suppression de ces variables a fait chuter l'AUC de 1.000 a 0.920, valeur qui reflete la veritable capacite predictive du modele sur des donnees non vues.</w:t>
      </w:r>
    </w:p>
    <w:p>
      <w:pPr>
        <w:pStyle w:val="Heading2"/>
        <w:spacing w:after="120" w:before="220"/>
      </w:pPr>
      <w:r>
        <w:rPr>
          <w:rFonts w:ascii="Arial" w:cs="Arial" w:eastAsia="Arial" w:hAnsi="Arial"/>
          <w:b/>
          <w:bCs/>
          <w:sz w:val="26"/>
          <w:szCs w:val="26"/>
        </w:rPr>
        <w:t xml:space="preserve">3.1 Categories de variables</w:t>
      </w:r>
    </w:p>
    <w:p>
      <w:pPr>
        <w:pStyle w:val="Heading3"/>
        <w:spacing w:after="80" w:before="180"/>
      </w:pPr>
      <w:r>
        <w:rPr>
          <w:rFonts w:ascii="Arial" w:cs="Arial" w:eastAsia="Arial" w:hAnsi="Arial"/>
          <w:b/>
          <w:bCs/>
          <w:sz w:val="24"/>
          <w:szCs w:val="24"/>
        </w:rPr>
        <w:t xml:space="preserve">A. Position et duree dans l'alerte</w:t>
      </w:r>
    </w:p>
    <w:p>
      <w:pPr>
        <w:spacing w:after="100" w:before="80"/>
        <w:jc w:val="both"/>
      </w:pPr>
      <w:r>
        <w:rPr>
          <w:rFonts w:ascii="Arial" w:cs="Arial" w:eastAsia="Arial" w:hAnsi="Arial"/>
          <w:sz w:val="22"/>
          <w:szCs w:val="22"/>
        </w:rPr>
        <w:t xml:space="preserve">Deux variables encodent l'etat d'avancement de l'alerte : le rang de l'eclair courant (rank_cg) et le temps ecoule depuis le premier eclair (t_since_start_s). Ces variables capturent le fait que la probabilite de fin augmente mecaniquement avec la duree de l'alerte.</w:t>
      </w:r>
    </w:p>
    <w:p>
      <w:pPr>
        <w:pStyle w:val="Heading3"/>
        <w:spacing w:after="80" w:before="180"/>
      </w:pPr>
      <w:r>
        <w:rPr>
          <w:rFonts w:ascii="Arial" w:cs="Arial" w:eastAsia="Arial" w:hAnsi="Arial"/>
          <w:b/>
          <w:bCs/>
          <w:sz w:val="24"/>
          <w:szCs w:val="24"/>
        </w:rPr>
        <w:t xml:space="preserve">B. Temps inter-eclairs (inter-arrival times)</w:t>
      </w:r>
    </w:p>
    <w:p>
      <w:pPr>
        <w:spacing w:after="100" w:before="80"/>
        <w:jc w:val="both"/>
      </w:pPr>
      <w:r>
        <w:rPr>
          <w:rFonts w:ascii="Arial" w:cs="Arial" w:eastAsia="Arial" w:hAnsi="Arial"/>
          <w:sz w:val="22"/>
          <w:szCs w:val="22"/>
        </w:rPr>
        <w:t xml:space="preserve">Le temps depuis l'eclair precedent (dt_prev_s) est la variable la plus discriminante du modele. Les variables derivees incluent la moyenne, le maximum, l'ecart-type et la moyenne mobile exponentielle sur des fenetres de W in {3, 5, 10, 20} eclairs. L'espacement croissant des eclairs constitue le signal physique le plus robuste de la fin d'un orage.</w:t>
      </w:r>
    </w:p>
    <w:p>
      <w:pPr>
        <w:pStyle w:val="Heading3"/>
        <w:spacing w:after="80" w:before="180"/>
      </w:pPr>
      <w:r>
        <w:rPr>
          <w:rFonts w:ascii="Arial" w:cs="Arial" w:eastAsia="Arial" w:hAnsi="Arial"/>
          <w:b/>
          <w:bCs/>
          <w:sz w:val="24"/>
          <w:szCs w:val="24"/>
        </w:rPr>
        <w:t xml:space="preserve">C. Distance et tendance spatiale</w:t>
      </w:r>
    </w:p>
    <w:p>
      <w:pPr>
        <w:spacing w:after="100" w:before="80"/>
        <w:jc w:val="both"/>
      </w:pPr>
      <w:r>
        <w:rPr>
          <w:rFonts w:ascii="Arial" w:cs="Arial" w:eastAsia="Arial" w:hAnsi="Arial"/>
          <w:sz w:val="22"/>
          <w:szCs w:val="22"/>
        </w:rPr>
        <w:t xml:space="preserve">La distance instantanee (dist), ses moyennes glissantes (dist_mean_W) et les pentes de regression lineaire (dist_trend_W) mesurent l'eloignement de l'orage. Une tendance positive de la distance signifie que le systeme orageux s'eloigne de l'aeroport.</w:t>
      </w:r>
    </w:p>
    <w:p>
      <w:pPr>
        <w:pStyle w:val="Heading3"/>
        <w:spacing w:after="80" w:before="180"/>
      </w:pPr>
      <w:r>
        <w:rPr>
          <w:rFonts w:ascii="Arial" w:cs="Arial" w:eastAsia="Arial" w:hAnsi="Arial"/>
          <w:b/>
          <w:bCs/>
          <w:sz w:val="24"/>
          <w:szCs w:val="24"/>
        </w:rPr>
        <w:t xml:space="preserve">D. Amplitude et intensite</w:t>
      </w:r>
    </w:p>
    <w:p>
      <w:pPr>
        <w:spacing w:after="100" w:before="80"/>
        <w:jc w:val="both"/>
      </w:pPr>
      <w:r>
        <w:rPr>
          <w:rFonts w:ascii="Arial" w:cs="Arial" w:eastAsia="Arial" w:hAnsi="Arial"/>
          <w:sz w:val="22"/>
          <w:szCs w:val="22"/>
        </w:rPr>
        <w:t xml:space="preserve">L'amplitude absolue (amp_abs), le courant crete (maxis), leurs moyennes glissantes et tendances (amp_mean_W, amp_trend_W) encodent le declin energetique de la cellule orageuse.</w:t>
      </w:r>
    </w:p>
    <w:p>
      <w:pPr>
        <w:pStyle w:val="Heading3"/>
        <w:spacing w:after="80" w:before="180"/>
      </w:pPr>
      <w:r>
        <w:rPr>
          <w:rFonts w:ascii="Arial" w:cs="Arial" w:eastAsia="Arial" w:hAnsi="Arial"/>
          <w:b/>
          <w:bCs/>
          <w:sz w:val="24"/>
          <w:szCs w:val="24"/>
        </w:rPr>
        <w:t xml:space="preserve">E. Densite d'activite temporelle</w:t>
      </w:r>
    </w:p>
    <w:p>
      <w:pPr>
        <w:spacing w:after="100" w:before="80"/>
        <w:jc w:val="both"/>
      </w:pPr>
      <w:r>
        <w:rPr>
          <w:rFonts w:ascii="Arial" w:cs="Arial" w:eastAsia="Arial" w:hAnsi="Arial"/>
          <w:sz w:val="22"/>
          <w:szCs w:val="22"/>
        </w:rPr>
        <w:t xml:space="preserve">Le nombre d'eclairs CG dans les N dernieres minutes (n_cg_2min, n_cg_5min, n_cg_10min, n_cg_15min, n_cg_30min) et le ratio de declin (n_cg_5min / (n_cg_10min + 1)) quantifient directement le ralentissement de l'activite convective.</w:t>
      </w:r>
    </w:p>
    <w:p>
      <w:pPr>
        <w:pStyle w:val="Heading3"/>
        <w:spacing w:after="80" w:before="180"/>
      </w:pPr>
      <w:r>
        <w:rPr>
          <w:rFonts w:ascii="Arial" w:cs="Arial" w:eastAsia="Arial" w:hAnsi="Arial"/>
          <w:b/>
          <w:bCs/>
          <w:sz w:val="24"/>
          <w:szCs w:val="24"/>
        </w:rPr>
        <w:t xml:space="preserve">F. Contexte intra-nuage (IC) - innovation principale</w:t>
      </w:r>
    </w:p>
    <w:p>
      <w:pPr>
        <w:spacing w:after="100" w:before="80"/>
        <w:jc w:val="both"/>
      </w:pPr>
      <w:r>
        <w:rPr>
          <w:rFonts w:ascii="Arial" w:cs="Arial" w:eastAsia="Arial" w:hAnsi="Arial"/>
          <w:sz w:val="22"/>
          <w:szCs w:val="22"/>
        </w:rPr>
        <w:t xml:space="preserve">Les eclairs IC accompagnent tout le cycle de vie de l'orage et leur declin precede systematiquement l'arret des eclairs CG. Chaque eclair CG est enrichi avec des statistiques sur les IC survenant dans la meme fenetre temporelle (n_ic_2min, n_ic_5min, n_ic_10min, n_ic_30min), les ratios IC/CG (ratio_ic_cg_5min, ratio_ic_cg_10min), la tendance de l'activite IC (ic_trend) et le declin d'activite totale (activity_decline). Cette innovation constitue l'apport le plus significatif en termes d'AUC.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626"/>
      </w:tblGrid>
      <w:tr>
        <w:trPr>
          <w:tblHeader/>
        </w:trPr>
        <w:tc>
          <w:tcPr>
            <w:tcW w:type="dxa" w:w="2800"/>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pPr>
              <w:jc w:val="left"/>
            </w:pPr>
            <w:r>
              <w:rPr>
                <w:rFonts w:ascii="Arial" w:cs="Arial" w:eastAsia="Arial" w:hAnsi="Arial"/>
                <w:b/>
                <w:bCs/>
                <w:sz w:val="18"/>
                <w:szCs w:val="18"/>
              </w:rPr>
              <w:t xml:space="preserve">Version</w:t>
            </w:r>
          </w:p>
        </w:tc>
        <w:tc>
          <w:tcPr>
            <w:tcW w:type="dxa" w:w="1600"/>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pPr>
              <w:jc w:val="center"/>
            </w:pPr>
            <w:r>
              <w:rPr>
                <w:rFonts w:ascii="Arial" w:cs="Arial" w:eastAsia="Arial" w:hAnsi="Arial"/>
                <w:b/>
                <w:bCs/>
                <w:sz w:val="18"/>
                <w:szCs w:val="18"/>
              </w:rPr>
              <w:t xml:space="preserve">Nb features</w:t>
            </w:r>
          </w:p>
        </w:tc>
        <w:tc>
          <w:tcPr>
            <w:tcW w:type="dxa" w:w="4626"/>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pPr>
              <w:jc w:val="left"/>
            </w:pPr>
            <w:r>
              <w:rPr>
                <w:rFonts w:ascii="Arial" w:cs="Arial" w:eastAsia="Arial" w:hAnsi="Arial"/>
                <w:b/>
                <w:bCs/>
                <w:sz w:val="18"/>
                <w:szCs w:val="18"/>
              </w:rPr>
              <w:t xml:space="preserve">Description</w:t>
            </w:r>
          </w:p>
        </w:tc>
      </w:tr>
      <w:tr>
        <w:tc>
          <w:tcPr>
            <w:tcW w:type="dxa" w:w="2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V2 - Base (sans leakage)</w:t>
            </w:r>
          </w:p>
        </w:tc>
        <w:tc>
          <w:tcPr>
            <w:tcW w:type="dxa" w:w="1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36</w:t>
            </w:r>
          </w:p>
        </w:tc>
        <w:tc>
          <w:tcPr>
            <w:tcW w:type="dxa" w:w="46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Uniquement eclairs CG intra-alerte</w:t>
            </w:r>
          </w:p>
        </w:tc>
      </w:tr>
      <w:tr>
        <w:tc>
          <w:tcPr>
            <w:tcW w:type="dxa" w:w="2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V3 - Avec contexte IC</w:t>
            </w:r>
          </w:p>
        </w:tc>
        <w:tc>
          <w:tcPr>
            <w:tcW w:type="dxa" w:w="1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58</w:t>
            </w:r>
          </w:p>
        </w:tc>
        <w:tc>
          <w:tcPr>
            <w:tcW w:type="dxa" w:w="46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CG + 13 nouvelles variables IC contextuelles</w:t>
            </w:r>
          </w:p>
        </w:tc>
      </w:tr>
      <w:tr>
        <w:tc>
          <w:tcPr>
            <w:tcW w:type="dxa" w:w="2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Par aeroport</w:t>
            </w:r>
          </w:p>
        </w:tc>
        <w:tc>
          <w:tcPr>
            <w:tcW w:type="dxa" w:w="1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57</w:t>
            </w:r>
          </w:p>
        </w:tc>
        <w:tc>
          <w:tcPr>
            <w:tcW w:type="dxa" w:w="46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Identiques V3 sans encodage de l'aeroport (inutile car modele dedie)</w:t>
            </w:r>
          </w:p>
        </w:tc>
      </w:tr>
    </w:tbl>
    <w:p>
      <w:pPr>
        <w:spacing w:after="100" w:before="80"/>
        <w:jc w:val="both"/>
      </w:pPr>
      <w:r>
        <w:rPr>
          <w:rFonts w:ascii="Arial" w:cs="Arial" w:eastAsia="Arial" w:hAnsi="Arial"/>
          <w:sz w:val="22"/>
          <w:szCs w:val="22"/>
        </w:rPr>
        <w:t xml:space="preserve"/>
      </w:r>
    </w:p>
    <w:p>
      <w:pPr>
        <w:spacing w:after="60" w:before="120"/>
        <w:jc w:val="center"/>
      </w:pPr>
      <w:r>
        <w:drawing>
          <wp:inline distT="0" distB="0" distL="0" distR="0">
            <wp:extent cx="514350" cy="352425"/>
            <wp:effectExtent t="0" r="0" b="0" l="0"/>
            <wp:docPr id="1" name="06_correlation_matrix.png" descr="06_correlation_matrix.png" title="06_correlation_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 cy="352425"/>
                    </a:xfrm>
                    <a:prstGeom prst="rect">
                      <a:avLst/>
                    </a:prstGeom>
                  </pic:spPr>
                </pic:pic>
              </a:graphicData>
            </a:graphic>
          </wp:inline>
        </w:drawing>
      </w:r>
    </w:p>
    <w:p>
      <w:pPr>
        <w:spacing w:after="200" w:before="40"/>
        <w:jc w:val="center"/>
      </w:pPr>
      <w:r>
        <w:rPr>
          <w:rFonts w:ascii="Arial" w:cs="Arial" w:eastAsia="Arial" w:hAnsi="Arial"/>
          <w:i/>
          <w:iCs/>
          <w:sz w:val="18"/>
          <w:szCs w:val="18"/>
        </w:rPr>
        <w:t xml:space="preserve">Figure 7 - Matrice de correlation des variables principales. Les clusters visibles correspondent aux groupes temporels (dt_*), spatiaux (dist_*) et d'intensite (amp_*).</w:t>
      </w:r>
    </w:p>
    <w:p>
      <w:r>
        <w:br w:type="page"/>
      </w:r>
    </w:p>
    <w:p>
      <w:pPr>
        <w:pStyle w:val="Heading1"/>
        <w:spacing w:after="160" w:before="320"/>
      </w:pPr>
      <w:r>
        <w:rPr>
          <w:rFonts w:ascii="Arial" w:cs="Arial" w:eastAsia="Arial" w:hAnsi="Arial"/>
          <w:b/>
          <w:bCs/>
          <w:sz w:val="32"/>
          <w:szCs w:val="32"/>
        </w:rPr>
        <w:t xml:space="preserve">4. Modelisation</w:t>
      </w:r>
    </w:p>
    <w:p>
      <w:pPr>
        <w:pStyle w:val="Heading2"/>
        <w:spacing w:after="120" w:before="220"/>
      </w:pPr>
      <w:r>
        <w:rPr>
          <w:rFonts w:ascii="Arial" w:cs="Arial" w:eastAsia="Arial" w:hAnsi="Arial"/>
          <w:b/>
          <w:bCs/>
          <w:sz w:val="26"/>
          <w:szCs w:val="26"/>
        </w:rPr>
        <w:t xml:space="preserve">4.1 Choix de l'algorithme : LightGBM</w:t>
      </w:r>
    </w:p>
    <w:p>
      <w:pPr>
        <w:spacing w:after="100" w:before="80"/>
        <w:jc w:val="both"/>
      </w:pPr>
      <w:r>
        <w:rPr>
          <w:rFonts w:ascii="Arial" w:cs="Arial" w:eastAsia="Arial" w:hAnsi="Arial"/>
          <w:sz w:val="22"/>
          <w:szCs w:val="22"/>
        </w:rPr>
        <w:t xml:space="preserve">LightGBM (Light Gradient Boosting Machine) a ete retenu pour sa performance etablie sur les donnees tabulaires structurees, sa gestion native du desequilibre de classes via class_weight='balanced', et sa robustesse aux valeurs aberrantes et aux distributions asymetriques. La vitesse d'entrainement permet de mener des experimentations rapides de feature engineering.</w:t>
      </w:r>
    </w:p>
    <w:p>
      <w:pPr>
        <w:spacing w:after="100" w:before="80"/>
        <w:jc w:val="both"/>
      </w:pPr>
      <w:r>
        <w:rPr>
          <w:rFonts w:ascii="Arial" w:cs="Arial" w:eastAsia="Arial" w:hAnsi="Arial"/>
          <w:sz w:val="22"/>
          <w:szCs w:val="22"/>
        </w:rPr>
        <w:t xml:space="preserve">Les hyperparametres retenus apres validation croisee sont : n_estimators=800, learning_rate=0.03, max_depth=7, num_leaves=127, subsample=0.8, colsample_bytree=0.8. Ces valeurs favorisent la regularisation et limitent le surapprentissage.</w:t>
      </w:r>
    </w:p>
    <w:p>
      <w:pPr>
        <w:pStyle w:val="Heading2"/>
        <w:spacing w:after="120" w:before="220"/>
      </w:pPr>
      <w:r>
        <w:rPr>
          <w:rFonts w:ascii="Arial" w:cs="Arial" w:eastAsia="Arial" w:hAnsi="Arial"/>
          <w:b/>
          <w:bCs/>
          <w:sz w:val="26"/>
          <w:szCs w:val="26"/>
        </w:rPr>
        <w:t xml:space="preserve">4.2 Protocole de validation : GroupKFold</w:t>
      </w:r>
    </w:p>
    <w:p>
      <w:pPr>
        <w:spacing w:after="100" w:before="80"/>
        <w:jc w:val="both"/>
      </w:pPr>
      <w:r>
        <w:rPr>
          <w:rFonts w:ascii="Arial" w:cs="Arial" w:eastAsia="Arial" w:hAnsi="Arial"/>
          <w:sz w:val="22"/>
          <w:szCs w:val="22"/>
        </w:rPr>
        <w:t xml:space="preserve">La validation croisee est effectuee par alerte (GroupKFold, k=5). Chaque fold contient des alertes completes non partagees avec les autres folds. Cette approche est indispensable pour deux raisons. Premierement, les eclairs d'une meme alerte sont fortement correles temporellement : un KFold standard contaminerait le fold de validation avec des eclairs du meme orage. Deuxiemement, la performance mesuree sur des alertes entieres non vues reflete fidelement la capacite de generalisation en production.</w:t>
      </w:r>
    </w:p>
    <w:p>
      <w:pPr>
        <w:spacing w:after="100" w:before="80"/>
        <w:jc w:val="both"/>
      </w:pPr>
      <w:r>
        <w:rPr>
          <w:rFonts w:ascii="Arial" w:cs="Arial" w:eastAsia="Arial" w:hAnsi="Arial"/>
          <w:sz w:val="22"/>
          <w:szCs w:val="22"/>
        </w:rPr>
        <w:t xml:space="preserve">Les predictions Out-Of-Fold (OOF) constituent l'ensemble d'entrainement pour l'optimisation du seuil de decision, ce qui evite toute forme d'overfit sur le seuil.</w:t>
      </w:r>
    </w:p>
    <w:p>
      <w:pPr>
        <w:pStyle w:val="Heading2"/>
        <w:spacing w:after="120" w:before="220"/>
      </w:pPr>
      <w:r>
        <w:rPr>
          <w:rFonts w:ascii="Arial" w:cs="Arial" w:eastAsia="Arial" w:hAnsi="Arial"/>
          <w:b/>
          <w:bCs/>
          <w:sz w:val="26"/>
          <w:szCs w:val="26"/>
        </w:rPr>
        <w:t xml:space="preserve">4.3 Objectif d'optimisation : F1-score</w:t>
      </w:r>
    </w:p>
    <w:p>
      <w:pPr>
        <w:spacing w:after="100" w:before="80"/>
        <w:jc w:val="both"/>
      </w:pPr>
      <w:r>
        <w:rPr>
          <w:rFonts w:ascii="Arial" w:cs="Arial" w:eastAsia="Arial" w:hAnsi="Arial"/>
          <w:sz w:val="22"/>
          <w:szCs w:val="22"/>
        </w:rPr>
        <w:t xml:space="preserve">Dans le contexte de ce probleme, deux criteres operationnels sont a equilibrer. Les faux positifs (lever l'alerte trop tot alors que des eclairs suivent) sont dangereux et penalises par la metrique de risque. Les faux negatifs (ne pas detecter la fin de l'orage) entrainent des pertes de gain. Le F1-score, moyenne harmonique de la precision et du rappel, constitue la metrique d'optimisation principale du seuil. Le seuil optimal est determine sur les predictions OOF.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213"/>
        <w:gridCol w:w="4013"/>
      </w:tblGrid>
      <w:tr>
        <w:trPr>
          <w:tblHeader/>
        </w:trPr>
        <w:tc>
          <w:tcPr>
            <w:tcW w:type="dxa" w:w="1800"/>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pPr>
              <w:jc w:val="left"/>
            </w:pPr>
            <w:r>
              <w:rPr>
                <w:rFonts w:ascii="Arial" w:cs="Arial" w:eastAsia="Arial" w:hAnsi="Arial"/>
                <w:b/>
                <w:bCs/>
                <w:sz w:val="18"/>
                <w:szCs w:val="18"/>
              </w:rPr>
              <w:t xml:space="preserve">Type d'erreur</w:t>
            </w:r>
          </w:p>
        </w:tc>
        <w:tc>
          <w:tcPr>
            <w:tcW w:type="dxa" w:w="3213"/>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pPr>
              <w:jc w:val="left"/>
            </w:pPr>
            <w:r>
              <w:rPr>
                <w:rFonts w:ascii="Arial" w:cs="Arial" w:eastAsia="Arial" w:hAnsi="Arial"/>
                <w:b/>
                <w:bCs/>
                <w:sz w:val="18"/>
                <w:szCs w:val="18"/>
              </w:rPr>
              <w:t xml:space="preserve">Definition</w:t>
            </w:r>
          </w:p>
        </w:tc>
        <w:tc>
          <w:tcPr>
            <w:tcW w:type="dxa" w:w="4013"/>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pPr>
              <w:jc w:val="left"/>
            </w:pPr>
            <w:r>
              <w:rPr>
                <w:rFonts w:ascii="Arial" w:cs="Arial" w:eastAsia="Arial" w:hAnsi="Arial"/>
                <w:b/>
                <w:bCs/>
                <w:sz w:val="18"/>
                <w:szCs w:val="18"/>
              </w:rPr>
              <w:t xml:space="preserve">Impact operationnel</w:t>
            </w:r>
          </w:p>
        </w:tc>
      </w:tr>
      <w:tr>
        <w:tc>
          <w:tcPr>
            <w:tcW w:type="dxa" w:w="1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Vrai Positif</w:t>
            </w:r>
          </w:p>
        </w:tc>
        <w:tc>
          <w:tcPr>
            <w:tcW w:type="dxa" w:w="32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Detection correcte du dernier eclair</w:t>
            </w:r>
          </w:p>
        </w:tc>
        <w:tc>
          <w:tcPr>
            <w:tcW w:type="dxa" w:w="40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Alerte levee au bon moment - gain de temps</w:t>
            </w:r>
          </w:p>
        </w:tc>
      </w:tr>
      <w:tr>
        <w:tc>
          <w:tcPr>
            <w:tcW w:type="dxa" w:w="1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Faux Positif</w:t>
            </w:r>
          </w:p>
        </w:tc>
        <w:tc>
          <w:tcPr>
            <w:tcW w:type="dxa" w:w="32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Levee prematuree de l'alerte</w:t>
            </w:r>
          </w:p>
        </w:tc>
        <w:tc>
          <w:tcPr>
            <w:tcW w:type="dxa" w:w="40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Exposition au danger si eclairs subsequents - risque accru</w:t>
            </w:r>
          </w:p>
        </w:tc>
      </w:tr>
      <w:tr>
        <w:tc>
          <w:tcPr>
            <w:tcW w:type="dxa" w:w="1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Faux Negatif</w:t>
            </w:r>
          </w:p>
        </w:tc>
        <w:tc>
          <w:tcPr>
            <w:tcW w:type="dxa" w:w="32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Non-detection de la fin de l'orage</w:t>
            </w:r>
          </w:p>
        </w:tc>
        <w:tc>
          <w:tcPr>
            <w:tcW w:type="dxa" w:w="40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Attente inutile - perte de gain</w:t>
            </w:r>
          </w:p>
        </w:tc>
      </w:tr>
      <w:tr>
        <w:tc>
          <w:tcPr>
            <w:tcW w:type="dxa" w:w="1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Vrai Negatif</w:t>
            </w:r>
          </w:p>
        </w:tc>
        <w:tc>
          <w:tcPr>
            <w:tcW w:type="dxa" w:w="32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Maintien justifie de l'alerte</w:t>
            </w:r>
          </w:p>
        </w:tc>
        <w:tc>
          <w:tcPr>
            <w:tcW w:type="dxa" w:w="40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Securite maintenue - comportement normal</w:t>
            </w:r>
          </w:p>
        </w:tc>
      </w:tr>
    </w:tbl>
    <w:p>
      <w:pPr>
        <w:spacing w:after="100" w:before="80"/>
        <w:jc w:val="both"/>
      </w:pPr>
      <w:r>
        <w:rPr>
          <w:rFonts w:ascii="Arial" w:cs="Arial" w:eastAsia="Arial" w:hAnsi="Arial"/>
          <w:sz w:val="22"/>
          <w:szCs w:val="22"/>
        </w:rPr>
        <w:t xml:space="preserve"/>
      </w:r>
    </w:p>
    <w:p>
      <w:pPr>
        <w:pStyle w:val="Heading2"/>
        <w:spacing w:after="120" w:before="220"/>
      </w:pPr>
      <w:r>
        <w:rPr>
          <w:rFonts w:ascii="Arial" w:cs="Arial" w:eastAsia="Arial" w:hAnsi="Arial"/>
          <w:b/>
          <w:bCs/>
          <w:sz w:val="26"/>
          <w:szCs w:val="26"/>
        </w:rPr>
        <w:t xml:space="preserve">4.4 Trois approches evaluees</w:t>
      </w:r>
    </w:p>
    <w:p>
      <w:pPr>
        <w:pStyle w:val="Heading3"/>
        <w:spacing w:after="80" w:before="180"/>
      </w:pPr>
      <w:r>
        <w:rPr>
          <w:rFonts w:ascii="Arial" w:cs="Arial" w:eastAsia="Arial" w:hAnsi="Arial"/>
          <w:b/>
          <w:bCs/>
          <w:sz w:val="24"/>
          <w:szCs w:val="24"/>
        </w:rPr>
        <w:t xml:space="preserve">Modele V2 - Base sans leakage</w:t>
      </w:r>
    </w:p>
    <w:p>
      <w:pPr>
        <w:spacing w:after="100" w:before="80"/>
        <w:jc w:val="both"/>
      </w:pPr>
      <w:r>
        <w:rPr>
          <w:rFonts w:ascii="Arial" w:cs="Arial" w:eastAsia="Arial" w:hAnsi="Arial"/>
          <w:sz w:val="22"/>
          <w:szCs w:val="22"/>
        </w:rPr>
        <w:t xml:space="preserve">Premier modele exempt de fuite de donnees (36 features causales sur les eclairs CG). Il sert de reference pour mesurer le gain apporte par les enrichissements successifs. L'AUC de 0.9197 etablit la performance atteignable par les seuls signaux CG intra-alerte.</w:t>
      </w:r>
    </w:p>
    <w:p>
      <w:pPr>
        <w:pStyle w:val="Heading3"/>
        <w:spacing w:after="80" w:before="180"/>
      </w:pPr>
      <w:r>
        <w:rPr>
          <w:rFonts w:ascii="Arial" w:cs="Arial" w:eastAsia="Arial" w:hAnsi="Arial"/>
          <w:b/>
          <w:bCs/>
          <w:sz w:val="24"/>
          <w:szCs w:val="24"/>
        </w:rPr>
        <w:t xml:space="preserve">Modele V3 - Avec contexte IC</w:t>
      </w:r>
    </w:p>
    <w:p>
      <w:pPr>
        <w:spacing w:after="100" w:before="80"/>
        <w:jc w:val="both"/>
      </w:pPr>
      <w:r>
        <w:rPr>
          <w:rFonts w:ascii="Arial" w:cs="Arial" w:eastAsia="Arial" w:hAnsi="Arial"/>
          <w:sz w:val="22"/>
          <w:szCs w:val="22"/>
        </w:rPr>
        <w:t xml:space="preserve">Enrichissement avec 22 variables suppletaires derivees des eclairs intra-nuage. L'hypothese testee est que la diminution de l'activite IC constitue un signal precurseur de la fin des eclairs CG. Cette hypothese est confirmee par l'amelioration de l'AUC a 0.9328 et du F1 a 0.433.</w:t>
      </w:r>
    </w:p>
    <w:p>
      <w:pPr>
        <w:pStyle w:val="Heading3"/>
        <w:spacing w:after="80" w:before="180"/>
      </w:pPr>
      <w:r>
        <w:rPr>
          <w:rFonts w:ascii="Arial" w:cs="Arial" w:eastAsia="Arial" w:hAnsi="Arial"/>
          <w:b/>
          <w:bCs/>
          <w:sz w:val="24"/>
          <w:szCs w:val="24"/>
        </w:rPr>
        <w:t xml:space="preserve">Modeles par aeroport</w:t>
      </w:r>
    </w:p>
    <w:p>
      <w:pPr>
        <w:spacing w:after="100" w:before="80"/>
        <w:jc w:val="both"/>
      </w:pPr>
      <w:r>
        <w:rPr>
          <w:rFonts w:ascii="Arial" w:cs="Arial" w:eastAsia="Arial" w:hAnsi="Arial"/>
          <w:sz w:val="22"/>
          <w:szCs w:val="22"/>
        </w:rPr>
        <w:t xml:space="preserve">Un modele LightGBM independant est entraine pour chaque aeroport sur l'integralite de ses donnees d'entrainement. Cette strategie de specialisation capture les specificites locales que le modele global attenue necessairement. Les seuils de decision sont egalement optimises independamment par aeroport.</w:t>
      </w:r>
    </w:p>
    <w:p>
      <w:r>
        <w:br w:type="page"/>
      </w:r>
    </w:p>
    <w:p>
      <w:pPr>
        <w:pStyle w:val="Heading1"/>
        <w:spacing w:after="160" w:before="320"/>
      </w:pPr>
      <w:r>
        <w:rPr>
          <w:rFonts w:ascii="Arial" w:cs="Arial" w:eastAsia="Arial" w:hAnsi="Arial"/>
          <w:b/>
          <w:bCs/>
          <w:sz w:val="32"/>
          <w:szCs w:val="32"/>
        </w:rPr>
        <w:t xml:space="preserve">5. Resultats et evaluation</w:t>
      </w:r>
    </w:p>
    <w:p>
      <w:pPr>
        <w:pStyle w:val="Heading2"/>
        <w:spacing w:after="120" w:before="220"/>
      </w:pPr>
      <w:r>
        <w:rPr>
          <w:rFonts w:ascii="Arial" w:cs="Arial" w:eastAsia="Arial" w:hAnsi="Arial"/>
          <w:b/>
          <w:bCs/>
          <w:sz w:val="26"/>
          <w:szCs w:val="26"/>
        </w:rPr>
        <w:t xml:space="preserve">5.1 Protocole d'evaluation officiel</w:t>
      </w:r>
    </w:p>
    <w:p>
      <w:pPr>
        <w:spacing w:after="100" w:before="80"/>
        <w:jc w:val="both"/>
      </w:pPr>
      <w:r>
        <w:rPr>
          <w:rFonts w:ascii="Arial" w:cs="Arial" w:eastAsia="Arial" w:hAnsi="Arial"/>
          <w:sz w:val="22"/>
          <w:szCs w:val="22"/>
        </w:rPr>
        <w:t xml:space="preserve">Le notebook d'evaluation fourni par Meteorage definit deux metriques complementaires pour quantifier les performances en situation operationnelle :</w:t>
      </w:r>
    </w:p>
    <w:p>
      <w:pPr>
        <w:spacing w:after="100" w:before="80"/>
        <w:jc w:val="both"/>
      </w:pPr>
      <w:r>
        <w:rPr>
          <w:rFonts w:ascii="Arial" w:cs="Arial" w:eastAsia="Arial" w:hAnsi="Arial"/>
          <w:sz w:val="22"/>
          <w:szCs w:val="22"/>
        </w:rPr>
        <w:t xml:space="preserve">Gain G : somme des ecarts entre la fin de l'alerte prevue par la regle fixe (dernier eclair + 30 minutes) et la fin predite par le modele (premier eclair avec score &gt;= theta). Un gain positif signifie que l'alerte est levee avant l'expiration des 30 minutes reglementaires.</w:t>
      </w:r>
    </w:p>
    <w:p>
      <w:pPr>
        <w:spacing w:after="100" w:before="80"/>
        <w:jc w:val="both"/>
      </w:pPr>
      <w:r>
        <w:rPr>
          <w:rFonts w:ascii="Arial" w:cs="Arial" w:eastAsia="Arial" w:hAnsi="Arial"/>
          <w:sz w:val="22"/>
          <w:szCs w:val="22"/>
        </w:rPr>
        <w:t xml:space="preserve">Risque R : proportion d'eclairs dangereux (distance &lt; 3 km de l'aeroport) survenant apres la fin predite par le modele. La contrainte operationnelle imposee est R &lt; 2%.</w:t>
      </w:r>
    </w:p>
    <w:p>
      <w:pPr>
        <w:spacing w:after="100" w:before="80"/>
        <w:jc w:val="both"/>
      </w:pPr>
      <w:r>
        <w:rPr>
          <w:rFonts w:ascii="Arial" w:cs="Arial" w:eastAsia="Arial" w:hAnsi="Arial"/>
          <w:sz w:val="22"/>
          <w:szCs w:val="22"/>
        </w:rPr>
        <w:t xml:space="preserve">Le parametre theta est le seuil de confiance qui conditionne la declaration de fin d'alerte. Le theta optimal est celui qui maximise G sous la contrainte R &lt; 2%.</w:t>
      </w:r>
    </w:p>
    <w:p>
      <w:pPr>
        <w:pStyle w:val="Heading2"/>
        <w:spacing w:after="120" w:before="220"/>
      </w:pPr>
      <w:r>
        <w:rPr>
          <w:rFonts w:ascii="Arial" w:cs="Arial" w:eastAsia="Arial" w:hAnsi="Arial"/>
          <w:b/>
          <w:bCs/>
          <w:sz w:val="26"/>
          <w:szCs w:val="26"/>
        </w:rPr>
        <w:t xml:space="preserve">5.2 Performances en classification (F1, precision, rappel)</w:t>
      </w:r>
    </w:p>
    <w:p>
      <w:pPr>
        <w:spacing w:after="100" w:before="80"/>
        <w:jc w:val="both"/>
      </w:pPr>
      <w:r>
        <w:rPr>
          <w:rFonts w:ascii="Arial" w:cs="Arial" w:eastAsia="Arial" w:hAnsi="Arial"/>
          <w:sz w:val="22"/>
          <w:szCs w:val="22"/>
        </w:rPr>
        <w:t xml:space="preserve">Les metriques de classification sont calculees sur les predictions Out-Of-Fold, garantissant l'absence de surapprentissage. Le tableau suivant synthetise les resultats des trois approches evaluees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6"/>
        <w:gridCol w:w="1300"/>
        <w:gridCol w:w="1100"/>
        <w:gridCol w:w="1400"/>
        <w:gridCol w:w="1300"/>
        <w:gridCol w:w="1400"/>
      </w:tblGrid>
      <w:tr>
        <w:trPr>
          <w:tblHeader/>
        </w:trPr>
        <w:tc>
          <w:tcPr>
            <w:tcW w:type="dxa" w:w="2526"/>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pPr>
              <w:jc w:val="left"/>
            </w:pPr>
            <w:r>
              <w:rPr>
                <w:rFonts w:ascii="Arial" w:cs="Arial" w:eastAsia="Arial" w:hAnsi="Arial"/>
                <w:b/>
                <w:bCs/>
                <w:sz w:val="18"/>
                <w:szCs w:val="18"/>
              </w:rPr>
              <w:t xml:space="preserve">Modele</w:t>
            </w:r>
          </w:p>
        </w:tc>
        <w:tc>
          <w:tcPr>
            <w:tcW w:type="dxa" w:w="1300"/>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pPr>
              <w:jc w:val="center"/>
            </w:pPr>
            <w:r>
              <w:rPr>
                <w:rFonts w:ascii="Arial" w:cs="Arial" w:eastAsia="Arial" w:hAnsi="Arial"/>
                <w:b/>
                <w:bCs/>
                <w:sz w:val="18"/>
                <w:szCs w:val="18"/>
              </w:rPr>
              <w:t xml:space="preserve">AUC</w:t>
            </w:r>
          </w:p>
        </w:tc>
        <w:tc>
          <w:tcPr>
            <w:tcW w:type="dxa" w:w="1100"/>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pPr>
              <w:jc w:val="center"/>
            </w:pPr>
            <w:r>
              <w:rPr>
                <w:rFonts w:ascii="Arial" w:cs="Arial" w:eastAsia="Arial" w:hAnsi="Arial"/>
                <w:b/>
                <w:bCs/>
                <w:sz w:val="18"/>
                <w:szCs w:val="18"/>
              </w:rPr>
              <w:t xml:space="preserve">AP</w:t>
            </w:r>
          </w:p>
        </w:tc>
        <w:tc>
          <w:tcPr>
            <w:tcW w:type="dxa" w:w="1400"/>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pPr>
              <w:jc w:val="center"/>
            </w:pPr>
            <w:r>
              <w:rPr>
                <w:rFonts w:ascii="Arial" w:cs="Arial" w:eastAsia="Arial" w:hAnsi="Arial"/>
                <w:b/>
                <w:bCs/>
                <w:sz w:val="18"/>
                <w:szCs w:val="18"/>
              </w:rPr>
              <w:t xml:space="preserve">F1 optimal</w:t>
            </w:r>
          </w:p>
        </w:tc>
        <w:tc>
          <w:tcPr>
            <w:tcW w:type="dxa" w:w="1300"/>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pPr>
              <w:jc w:val="center"/>
            </w:pPr>
            <w:r>
              <w:rPr>
                <w:rFonts w:ascii="Arial" w:cs="Arial" w:eastAsia="Arial" w:hAnsi="Arial"/>
                <w:b/>
                <w:bCs/>
                <w:sz w:val="18"/>
                <w:szCs w:val="18"/>
              </w:rPr>
              <w:t xml:space="preserve">Precision</w:t>
            </w:r>
          </w:p>
        </w:tc>
        <w:tc>
          <w:tcPr>
            <w:tcW w:type="dxa" w:w="1400"/>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pPr>
              <w:jc w:val="center"/>
            </w:pPr>
            <w:r>
              <w:rPr>
                <w:rFonts w:ascii="Arial" w:cs="Arial" w:eastAsia="Arial" w:hAnsi="Arial"/>
                <w:b/>
                <w:bCs/>
                <w:sz w:val="18"/>
                <w:szCs w:val="18"/>
              </w:rPr>
              <w:t xml:space="preserve">Rappel</w:t>
            </w:r>
          </w:p>
        </w:tc>
      </w:tr>
      <w:tr>
        <w:tc>
          <w:tcPr>
            <w:tcW w:type="dxa" w:w="25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V2 - Base</w:t>
            </w:r>
          </w:p>
        </w:tc>
        <w:tc>
          <w:tcPr>
            <w:tcW w:type="dxa" w:w="13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0.9197</w:t>
            </w:r>
          </w:p>
        </w:tc>
        <w:tc>
          <w:tcPr>
            <w:tcW w:type="dxa" w:w="11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0.337</w:t>
            </w:r>
          </w:p>
        </w:tc>
        <w:tc>
          <w:tcPr>
            <w:tcW w:type="dxa" w:w="1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0.395</w:t>
            </w:r>
          </w:p>
        </w:tc>
        <w:tc>
          <w:tcPr>
            <w:tcW w:type="dxa" w:w="13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0.320</w:t>
            </w:r>
          </w:p>
        </w:tc>
        <w:tc>
          <w:tcPr>
            <w:tcW w:type="dxa" w:w="1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0.515</w:t>
            </w:r>
          </w:p>
        </w:tc>
      </w:tr>
      <w:tr>
        <w:tc>
          <w:tcPr>
            <w:tcW w:type="dxa" w:w="25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V3 + Contexte IC</w:t>
            </w:r>
          </w:p>
        </w:tc>
        <w:tc>
          <w:tcPr>
            <w:tcW w:type="dxa" w:w="13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bCs/>
                <w:sz w:val="18"/>
                <w:szCs w:val="18"/>
              </w:rPr>
              <w:t xml:space="preserve">0.9328</w:t>
            </w:r>
          </w:p>
        </w:tc>
        <w:tc>
          <w:tcPr>
            <w:tcW w:type="dxa" w:w="11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bCs/>
                <w:sz w:val="18"/>
                <w:szCs w:val="18"/>
              </w:rPr>
              <w:t xml:space="preserve">0.412</w:t>
            </w:r>
          </w:p>
        </w:tc>
        <w:tc>
          <w:tcPr>
            <w:tcW w:type="dxa" w:w="1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bCs/>
                <w:sz w:val="18"/>
                <w:szCs w:val="18"/>
              </w:rPr>
              <w:t xml:space="preserve">0.433</w:t>
            </w:r>
          </w:p>
        </w:tc>
        <w:tc>
          <w:tcPr>
            <w:tcW w:type="dxa" w:w="13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bCs/>
                <w:sz w:val="18"/>
                <w:szCs w:val="18"/>
              </w:rPr>
              <w:t xml:space="preserve">0.375</w:t>
            </w:r>
          </w:p>
        </w:tc>
        <w:tc>
          <w:tcPr>
            <w:tcW w:type="dxa" w:w="1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0.513</w:t>
            </w:r>
          </w:p>
        </w:tc>
      </w:tr>
      <w:tr>
        <w:tc>
          <w:tcPr>
            <w:tcW w:type="dxa" w:w="25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Par aeroport</w:t>
            </w:r>
          </w:p>
        </w:tc>
        <w:tc>
          <w:tcPr>
            <w:tcW w:type="dxa" w:w="13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0.9233</w:t>
            </w:r>
          </w:p>
        </w:tc>
        <w:tc>
          <w:tcPr>
            <w:tcW w:type="dxa" w:w="11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0.381</w:t>
            </w:r>
          </w:p>
        </w:tc>
        <w:tc>
          <w:tcPr>
            <w:tcW w:type="dxa" w:w="1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0.418</w:t>
            </w:r>
          </w:p>
        </w:tc>
        <w:tc>
          <w:tcPr>
            <w:tcW w:type="dxa" w:w="13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0.361</w:t>
            </w:r>
          </w:p>
        </w:tc>
        <w:tc>
          <w:tcPr>
            <w:tcW w:type="dxa" w:w="1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0.497</w:t>
            </w:r>
          </w:p>
        </w:tc>
      </w:tr>
    </w:tbl>
    <w:p>
      <w:pPr>
        <w:spacing w:after="100" w:before="80"/>
        <w:jc w:val="both"/>
      </w:pPr>
      <w:r>
        <w:rPr>
          <w:rFonts w:ascii="Arial" w:cs="Arial" w:eastAsia="Arial" w:hAnsi="Arial"/>
          <w:sz w:val="22"/>
          <w:szCs w:val="22"/>
        </w:rPr>
        <w:t xml:space="preserve"/>
      </w:r>
    </w:p>
    <w:p>
      <w:pPr>
        <w:spacing w:after="100" w:before="80"/>
        <w:jc w:val="both"/>
      </w:pPr>
      <w:r>
        <w:rPr>
          <w:rFonts w:ascii="Arial" w:cs="Arial" w:eastAsia="Arial" w:hAnsi="Arial"/>
          <w:sz w:val="22"/>
          <w:szCs w:val="22"/>
        </w:rPr>
        <w:t xml:space="preserve">Le modele V3 obtient le meilleur AUC (0.9328) et le meilleur F1 (0.433). La precision est amelioree de 17% par rapport au modele de base (0.375 vs 0.320), ce qui confirme l'apport des variables IC pour reduire les faux positifs. Le rappel est maintenu autour de 0.51 dans les trois configurations.</w:t>
      </w:r>
    </w:p>
    <w:p>
      <w:pPr>
        <w:spacing w:after="60" w:before="120"/>
        <w:jc w:val="center"/>
      </w:pPr>
      <w:r>
        <w:drawing>
          <wp:inline distT="0" distB="0" distL="0" distR="0">
            <wp:extent cx="962025" cy="409575"/>
            <wp:effectExtent t="0" r="0" b="0" l="0"/>
            <wp:docPr id="1" name="08_model_evaluation.png" descr="08_model_evaluation.png" title="08_model_evalu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962025" cy="409575"/>
                    </a:xfrm>
                    <a:prstGeom prst="rect">
                      <a:avLst/>
                    </a:prstGeom>
                  </pic:spPr>
                </pic:pic>
              </a:graphicData>
            </a:graphic>
          </wp:inline>
        </w:drawing>
      </w:r>
    </w:p>
    <w:p>
      <w:pPr>
        <w:spacing w:after="200" w:before="40"/>
        <w:jc w:val="center"/>
      </w:pPr>
      <w:r>
        <w:rPr>
          <w:rFonts w:ascii="Arial" w:cs="Arial" w:eastAsia="Arial" w:hAnsi="Arial"/>
          <w:i/>
          <w:iCs/>
          <w:sz w:val="18"/>
          <w:szCs w:val="18"/>
        </w:rPr>
        <w:t xml:space="preserve">Figure 8 - Courbes ROC et precision-rappel des trois modeles. Le modele V3 domine uniformement sur l'ensemble des seuils.</w:t>
      </w:r>
    </w:p>
    <w:p>
      <w:pPr>
        <w:spacing w:after="60" w:before="120"/>
        <w:jc w:val="center"/>
      </w:pPr>
      <w:r>
        <w:drawing>
          <wp:inline distT="0" distB="0" distL="0" distR="0">
            <wp:extent cx="600075" cy="247650"/>
            <wp:effectExtent t="0" r="0" b="0" l="0"/>
            <wp:docPr id="1" name="09_score_distribution.png" descr="09_score_distribution.png" title="09_score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0075" cy="247650"/>
                    </a:xfrm>
                    <a:prstGeom prst="rect">
                      <a:avLst/>
                    </a:prstGeom>
                  </pic:spPr>
                </pic:pic>
              </a:graphicData>
            </a:graphic>
          </wp:inline>
        </w:drawing>
      </w:r>
    </w:p>
    <w:p>
      <w:pPr>
        <w:spacing w:after="200" w:before="40"/>
        <w:jc w:val="center"/>
      </w:pPr>
      <w:r>
        <w:rPr>
          <w:rFonts w:ascii="Arial" w:cs="Arial" w:eastAsia="Arial" w:hAnsi="Arial"/>
          <w:i/>
          <w:iCs/>
          <w:sz w:val="18"/>
          <w:szCs w:val="18"/>
        </w:rPr>
        <w:t xml:space="preserve">Figure 9 - Distribution des scores de confiance sur les predictions OOF. La separation entre la classe positive (dernier eclair) et la classe negative est visible malgre le fort desequilibre.</w:t>
      </w:r>
    </w:p>
    <w:p>
      <w:pPr>
        <w:pStyle w:val="Heading2"/>
        <w:spacing w:after="120" w:before="220"/>
      </w:pPr>
      <w:r>
        <w:rPr>
          <w:rFonts w:ascii="Arial" w:cs="Arial" w:eastAsia="Arial" w:hAnsi="Arial"/>
          <w:b/>
          <w:bCs/>
          <w:sz w:val="26"/>
          <w:szCs w:val="26"/>
        </w:rPr>
        <w:t xml:space="preserve">5.3 Resultats operationnels : Gain et Risque</w:t>
      </w:r>
    </w:p>
    <w:p>
      <w:pPr>
        <w:spacing w:after="100" w:before="80"/>
        <w:jc w:val="both"/>
      </w:pPr>
      <w:r>
        <w:rPr>
          <w:rFonts w:ascii="Arial" w:cs="Arial" w:eastAsia="Arial" w:hAnsi="Arial"/>
          <w:sz w:val="22"/>
          <w:szCs w:val="22"/>
        </w:rPr>
        <w:t xml:space="preserve">Les performances operationnelles sont evaluees sur le set d'evaluation 2023-2025 (612 alertes independantes), en appliquant le protocole officiel Meteorage. Les resultats suivants correspondent au seuil theta optimal pour chaque modele (maximisation de G sous R &lt; 2%)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26"/>
        <w:gridCol w:w="1300"/>
        <w:gridCol w:w="1100"/>
        <w:gridCol w:w="1100"/>
        <w:gridCol w:w="1700"/>
        <w:gridCol w:w="1400"/>
      </w:tblGrid>
      <w:tr>
        <w:trPr>
          <w:tblHeader/>
        </w:trPr>
        <w:tc>
          <w:tcPr>
            <w:tcW w:type="dxa" w:w="2426"/>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pPr>
              <w:jc w:val="left"/>
            </w:pPr>
            <w:r>
              <w:rPr>
                <w:rFonts w:ascii="Arial" w:cs="Arial" w:eastAsia="Arial" w:hAnsi="Arial"/>
                <w:b/>
                <w:bCs/>
                <w:sz w:val="18"/>
                <w:szCs w:val="18"/>
              </w:rPr>
              <w:t xml:space="preserve">Modele</w:t>
            </w:r>
          </w:p>
        </w:tc>
        <w:tc>
          <w:tcPr>
            <w:tcW w:type="dxa" w:w="1300"/>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pPr>
              <w:jc w:val="center"/>
            </w:pPr>
            <w:r>
              <w:rPr>
                <w:rFonts w:ascii="Arial" w:cs="Arial" w:eastAsia="Arial" w:hAnsi="Arial"/>
                <w:b/>
                <w:bCs/>
                <w:sz w:val="18"/>
                <w:szCs w:val="18"/>
              </w:rPr>
              <w:t xml:space="preserve">Gain (h)</w:t>
            </w:r>
          </w:p>
        </w:tc>
        <w:tc>
          <w:tcPr>
            <w:tcW w:type="dxa" w:w="1100"/>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pPr>
              <w:jc w:val="center"/>
            </w:pPr>
            <w:r>
              <w:rPr>
                <w:rFonts w:ascii="Arial" w:cs="Arial" w:eastAsia="Arial" w:hAnsi="Arial"/>
                <w:b/>
                <w:bCs/>
                <w:sz w:val="18"/>
                <w:szCs w:val="18"/>
              </w:rPr>
              <w:t xml:space="preserve">Risque</w:t>
            </w:r>
          </w:p>
        </w:tc>
        <w:tc>
          <w:tcPr>
            <w:tcW w:type="dxa" w:w="1100"/>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pPr>
              <w:jc w:val="center"/>
            </w:pPr>
            <w:r>
              <w:rPr>
                <w:rFonts w:ascii="Arial" w:cs="Arial" w:eastAsia="Arial" w:hAnsi="Arial"/>
                <w:b/>
                <w:bCs/>
                <w:sz w:val="18"/>
                <w:szCs w:val="18"/>
              </w:rPr>
              <w:t xml:space="preserve">Theta</w:t>
            </w:r>
          </w:p>
        </w:tc>
        <w:tc>
          <w:tcPr>
            <w:tcW w:type="dxa" w:w="1700"/>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pPr>
              <w:jc w:val="center"/>
            </w:pPr>
            <w:r>
              <w:rPr>
                <w:rFonts w:ascii="Arial" w:cs="Arial" w:eastAsia="Arial" w:hAnsi="Arial"/>
                <w:b/>
                <w:bCs/>
                <w:sz w:val="18"/>
                <w:szCs w:val="18"/>
              </w:rPr>
              <w:t xml:space="preserve">Gain/alerte</w:t>
            </w:r>
          </w:p>
        </w:tc>
        <w:tc>
          <w:tcPr>
            <w:tcW w:type="dxa" w:w="1400"/>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pPr>
              <w:jc w:val="center"/>
            </w:pPr>
            <w:r>
              <w:rPr>
                <w:rFonts w:ascii="Arial" w:cs="Arial" w:eastAsia="Arial" w:hAnsi="Arial"/>
                <w:b/>
                <w:bCs/>
                <w:sz w:val="18"/>
                <w:szCs w:val="18"/>
              </w:rPr>
              <w:t xml:space="preserve">Statut</w:t>
            </w:r>
          </w:p>
        </w:tc>
      </w:tr>
      <w:tr>
        <w:tc>
          <w:tcPr>
            <w:tcW w:type="dxa" w:w="24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Baseline (30 min fixe)</w:t>
            </w:r>
          </w:p>
        </w:tc>
        <w:tc>
          <w:tcPr>
            <w:tcW w:type="dxa" w:w="13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 h</w:t>
            </w:r>
          </w:p>
        </w:tc>
        <w:tc>
          <w:tcPr>
            <w:tcW w:type="dxa" w:w="11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0.00%</w:t>
            </w:r>
          </w:p>
        </w:tc>
        <w:tc>
          <w:tcPr>
            <w:tcW w:type="dxa" w:w="11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1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 min</w:t>
            </w:r>
          </w:p>
        </w:tc>
        <w:tc>
          <w:tcPr>
            <w:tcW w:type="dxa" w:w="1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Reference</w:t>
            </w:r>
          </w:p>
        </w:tc>
      </w:tr>
      <w:tr>
        <w:tc>
          <w:tcPr>
            <w:tcW w:type="dxa" w:w="24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V2 - Base</w:t>
            </w:r>
          </w:p>
        </w:tc>
        <w:tc>
          <w:tcPr>
            <w:tcW w:type="dxa" w:w="13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80.4 h</w:t>
            </w:r>
          </w:p>
        </w:tc>
        <w:tc>
          <w:tcPr>
            <w:tcW w:type="dxa" w:w="11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0.95%</w:t>
            </w:r>
          </w:p>
        </w:tc>
        <w:tc>
          <w:tcPr>
            <w:tcW w:type="dxa" w:w="11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0.95</w:t>
            </w:r>
          </w:p>
        </w:tc>
        <w:tc>
          <w:tcPr>
            <w:tcW w:type="dxa" w:w="1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~7.9 min</w:t>
            </w:r>
          </w:p>
        </w:tc>
        <w:tc>
          <w:tcPr>
            <w:tcW w:type="dxa" w:w="1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R &lt; 2%</w:t>
            </w:r>
          </w:p>
        </w:tc>
      </w:tr>
      <w:tr>
        <w:tc>
          <w:tcPr>
            <w:tcW w:type="dxa" w:w="24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V3 + Contexte IC</w:t>
            </w:r>
          </w:p>
        </w:tc>
        <w:tc>
          <w:tcPr>
            <w:tcW w:type="dxa" w:w="13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93.0 h</w:t>
            </w:r>
          </w:p>
        </w:tc>
        <w:tc>
          <w:tcPr>
            <w:tcW w:type="dxa" w:w="11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0.50%</w:t>
            </w:r>
          </w:p>
        </w:tc>
        <w:tc>
          <w:tcPr>
            <w:tcW w:type="dxa" w:w="11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0.95</w:t>
            </w:r>
          </w:p>
        </w:tc>
        <w:tc>
          <w:tcPr>
            <w:tcW w:type="dxa" w:w="1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~9.1 min</w:t>
            </w:r>
          </w:p>
        </w:tc>
        <w:tc>
          <w:tcPr>
            <w:tcW w:type="dxa" w:w="1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R &lt; 2%</w:t>
            </w:r>
          </w:p>
        </w:tc>
      </w:tr>
      <w:tr>
        <w:tc>
          <w:tcPr>
            <w:tcW w:type="dxa" w:w="24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Par aeroport</w:t>
            </w:r>
          </w:p>
        </w:tc>
        <w:tc>
          <w:tcPr>
            <w:tcW w:type="dxa" w:w="13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bCs/>
                <w:sz w:val="18"/>
                <w:szCs w:val="18"/>
              </w:rPr>
              <w:t xml:space="preserve">213.8 h</w:t>
            </w:r>
          </w:p>
        </w:tc>
        <w:tc>
          <w:tcPr>
            <w:tcW w:type="dxa" w:w="11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1.15%</w:t>
            </w:r>
          </w:p>
        </w:tc>
        <w:tc>
          <w:tcPr>
            <w:tcW w:type="dxa" w:w="11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0.90</w:t>
            </w:r>
          </w:p>
        </w:tc>
        <w:tc>
          <w:tcPr>
            <w:tcW w:type="dxa" w:w="1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bCs/>
                <w:sz w:val="18"/>
                <w:szCs w:val="18"/>
              </w:rPr>
              <w:t xml:space="preserve">~21 min</w:t>
            </w:r>
          </w:p>
        </w:tc>
        <w:tc>
          <w:tcPr>
            <w:tcW w:type="dxa" w:w="1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R &lt; 2%</w:t>
            </w:r>
          </w:p>
        </w:tc>
      </w:tr>
    </w:tbl>
    <w:p>
      <w:pPr>
        <w:spacing w:after="100" w:before="80"/>
        <w:jc w:val="both"/>
      </w:pPr>
      <w:r>
        <w:rPr>
          <w:rFonts w:ascii="Arial" w:cs="Arial" w:eastAsia="Arial" w:hAnsi="Arial"/>
          <w:sz w:val="22"/>
          <w:szCs w:val="22"/>
        </w:rPr>
        <w:t xml:space="preserve"/>
      </w:r>
    </w:p>
    <w:p>
      <w:pPr>
        <w:spacing w:after="100" w:before="80"/>
        <w:jc w:val="both"/>
      </w:pPr>
      <w:r>
        <w:rPr>
          <w:rFonts w:ascii="Arial" w:cs="Arial" w:eastAsia="Arial" w:hAnsi="Arial"/>
          <w:sz w:val="22"/>
          <w:szCs w:val="22"/>
        </w:rPr>
        <w:t xml:space="preserve">Le modele par aeroport est le plus performant operationnellement, avec 213.8 heures d'exploitation recuperees sur 612 alertes, soit environ 21 minutes par alerte en moyenne. Ce gain est realise avec un risque de 1.15%, bien en deca du seuil de tolerance de 2%. Cette amelioration de 165% par rapport au modele de base confirme l'interet de la specialisation par site.</w:t>
      </w:r>
    </w:p>
    <w:p>
      <w:pPr>
        <w:spacing w:after="60" w:before="120"/>
        <w:jc w:val="center"/>
      </w:pPr>
      <w:r>
        <w:drawing>
          <wp:inline distT="0" distB="0" distL="0" distR="0">
            <wp:extent cx="847725" cy="247650"/>
            <wp:effectExtent t="0" r="0" b="0" l="0"/>
            <wp:docPr id="1" name="10_evaluation_results.png" descr="10_evaluation_results.png" title="10_evaluation_resul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847725" cy="247650"/>
                    </a:xfrm>
                    <a:prstGeom prst="rect">
                      <a:avLst/>
                    </a:prstGeom>
                  </pic:spPr>
                </pic:pic>
              </a:graphicData>
            </a:graphic>
          </wp:inline>
        </w:drawing>
      </w:r>
    </w:p>
    <w:p>
      <w:pPr>
        <w:spacing w:after="200" w:before="40"/>
        <w:jc w:val="center"/>
      </w:pPr>
      <w:r>
        <w:rPr>
          <w:rFonts w:ascii="Arial" w:cs="Arial" w:eastAsia="Arial" w:hAnsi="Arial"/>
          <w:i/>
          <w:iCs/>
          <w:sz w:val="18"/>
          <w:szCs w:val="18"/>
        </w:rPr>
        <w:t xml:space="preserve">Figure 10 - Gain cumulatif et risque associe sur l'ensemble d'evaluation, par modele et par aeroport.</w:t>
      </w:r>
    </w:p>
    <w:p>
      <w:pPr>
        <w:spacing w:after="60" w:before="120"/>
        <w:jc w:val="center"/>
      </w:pPr>
      <w:r>
        <w:drawing>
          <wp:inline distT="0" distB="0" distL="0" distR="0">
            <wp:extent cx="600075" cy="304800"/>
            <wp:effectExtent t="0" r="0" b="0" l="0"/>
            <wp:docPr id="1" name="11_eval_gain_risk.png" descr="11_eval_gain_risk.png" title="11_eval_gain_ris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0075" cy="304800"/>
                    </a:xfrm>
                    <a:prstGeom prst="rect">
                      <a:avLst/>
                    </a:prstGeom>
                  </pic:spPr>
                </pic:pic>
              </a:graphicData>
            </a:graphic>
          </wp:inline>
        </w:drawing>
      </w:r>
    </w:p>
    <w:p>
      <w:pPr>
        <w:spacing w:after="200" w:before="40"/>
        <w:jc w:val="center"/>
      </w:pPr>
      <w:r>
        <w:rPr>
          <w:rFonts w:ascii="Arial" w:cs="Arial" w:eastAsia="Arial" w:hAnsi="Arial"/>
          <w:i/>
          <w:iCs/>
          <w:sz w:val="18"/>
          <w:szCs w:val="18"/>
        </w:rPr>
        <w:t xml:space="preserve">Figure 11 - Courbe Gain-Risque en fonction du seuil theta pour le modele par aeroport. La zone grisee indique R &gt; 2% (non acceptable). Le point optimal (theta=0.90) maximise le gain avec R=1.15%.</w:t>
      </w:r>
    </w:p>
    <w:p>
      <w:pPr>
        <w:pStyle w:val="Heading2"/>
        <w:spacing w:after="120" w:before="220"/>
      </w:pPr>
      <w:r>
        <w:rPr>
          <w:rFonts w:ascii="Arial" w:cs="Arial" w:eastAsia="Arial" w:hAnsi="Arial"/>
          <w:b/>
          <w:bCs/>
          <w:sz w:val="26"/>
          <w:szCs w:val="26"/>
        </w:rPr>
        <w:t xml:space="preserve">5.4 Performance par aeroport</w:t>
      </w:r>
    </w:p>
    <w:p>
      <w:pPr>
        <w:spacing w:after="100" w:before="80"/>
        <w:jc w:val="both"/>
      </w:pPr>
      <w:r>
        <w:rPr>
          <w:rFonts w:ascii="Arial" w:cs="Arial" w:eastAsia="Arial" w:hAnsi="Arial"/>
          <w:sz w:val="22"/>
          <w:szCs w:val="22"/>
        </w:rPr>
        <w:t xml:space="preserve">Les resultats montrent une heterogeneite marquee entre aeroports, qui justifie a posteriori l'approche de specialisation. Les seuils optimaux varient de 0.08 (Nantes) a 0.53 (Pise), ce qui rend impossible l'utilisation d'un seuil global efficace. Nantes dispose de peu d'alertes (206), ce qui conduit a un seuil bas pour maximiser le rappel. Pise, plus riche en donnees (769 alertes), peut maintenir un seuil plus eleve et donc une meilleure precision.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200"/>
        <w:gridCol w:w="1100"/>
        <w:gridCol w:w="1400"/>
        <w:gridCol w:w="2326"/>
      </w:tblGrid>
      <w:tr>
        <w:trPr>
          <w:tblHeader/>
        </w:trPr>
        <w:tc>
          <w:tcPr>
            <w:tcW w:type="dxa" w:w="1700"/>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pPr>
              <w:jc w:val="left"/>
            </w:pPr>
            <w:r>
              <w:rPr>
                <w:rFonts w:ascii="Arial" w:cs="Arial" w:eastAsia="Arial" w:hAnsi="Arial"/>
                <w:b/>
                <w:bCs/>
                <w:sz w:val="18"/>
                <w:szCs w:val="18"/>
              </w:rPr>
              <w:t xml:space="preserve">Aeroport</w:t>
            </w:r>
          </w:p>
        </w:tc>
        <w:tc>
          <w:tcPr>
            <w:tcW w:type="dxa" w:w="1300"/>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pPr>
              <w:jc w:val="center"/>
            </w:pPr>
            <w:r>
              <w:rPr>
                <w:rFonts w:ascii="Arial" w:cs="Arial" w:eastAsia="Arial" w:hAnsi="Arial"/>
                <w:b/>
                <w:bCs/>
                <w:sz w:val="18"/>
                <w:szCs w:val="18"/>
              </w:rPr>
              <w:t xml:space="preserve">Alertes</w:t>
            </w:r>
          </w:p>
        </w:tc>
        <w:tc>
          <w:tcPr>
            <w:tcW w:type="dxa" w:w="1200"/>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pPr>
              <w:jc w:val="center"/>
            </w:pPr>
            <w:r>
              <w:rPr>
                <w:rFonts w:ascii="Arial" w:cs="Arial" w:eastAsia="Arial" w:hAnsi="Arial"/>
                <w:b/>
                <w:bCs/>
                <w:sz w:val="18"/>
                <w:szCs w:val="18"/>
              </w:rPr>
              <w:t xml:space="preserve">AUC</w:t>
            </w:r>
          </w:p>
        </w:tc>
        <w:tc>
          <w:tcPr>
            <w:tcW w:type="dxa" w:w="1100"/>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pPr>
              <w:jc w:val="center"/>
            </w:pPr>
            <w:r>
              <w:rPr>
                <w:rFonts w:ascii="Arial" w:cs="Arial" w:eastAsia="Arial" w:hAnsi="Arial"/>
                <w:b/>
                <w:bCs/>
                <w:sz w:val="18"/>
                <w:szCs w:val="18"/>
              </w:rPr>
              <w:t xml:space="preserve">AP</w:t>
            </w:r>
          </w:p>
        </w:tc>
        <w:tc>
          <w:tcPr>
            <w:tcW w:type="dxa" w:w="1400"/>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pPr>
              <w:jc w:val="center"/>
            </w:pPr>
            <w:r>
              <w:rPr>
                <w:rFonts w:ascii="Arial" w:cs="Arial" w:eastAsia="Arial" w:hAnsi="Arial"/>
                <w:b/>
                <w:bCs/>
                <w:sz w:val="18"/>
                <w:szCs w:val="18"/>
              </w:rPr>
              <w:t xml:space="preserve">F1 opt.</w:t>
            </w:r>
          </w:p>
        </w:tc>
        <w:tc>
          <w:tcPr>
            <w:tcW w:type="dxa" w:w="2326"/>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pPr>
              <w:jc w:val="center"/>
            </w:pPr>
            <w:r>
              <w:rPr>
                <w:rFonts w:ascii="Arial" w:cs="Arial" w:eastAsia="Arial" w:hAnsi="Arial"/>
                <w:b/>
                <w:bCs/>
                <w:sz w:val="18"/>
                <w:szCs w:val="18"/>
              </w:rPr>
              <w:t xml:space="preserve">Seuil optimal</w:t>
            </w:r>
          </w:p>
        </w:tc>
      </w:tr>
      <w:tr>
        <w:tc>
          <w:tcPr>
            <w:tcW w:type="dxa" w:w="1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Ajaccio</w:t>
            </w:r>
          </w:p>
        </w:tc>
        <w:tc>
          <w:tcPr>
            <w:tcW w:type="dxa" w:w="13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530</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0.931</w:t>
            </w:r>
          </w:p>
        </w:tc>
        <w:tc>
          <w:tcPr>
            <w:tcW w:type="dxa" w:w="11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0.414</w:t>
            </w:r>
          </w:p>
        </w:tc>
        <w:tc>
          <w:tcPr>
            <w:tcW w:type="dxa" w:w="1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bCs/>
                <w:sz w:val="18"/>
                <w:szCs w:val="18"/>
              </w:rPr>
              <w:t xml:space="preserve">0.444</w:t>
            </w:r>
          </w:p>
        </w:tc>
        <w:tc>
          <w:tcPr>
            <w:tcW w:type="dxa" w:w="23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0.387</w:t>
            </w:r>
          </w:p>
        </w:tc>
      </w:tr>
      <w:tr>
        <w:tc>
          <w:tcPr>
            <w:tcW w:type="dxa" w:w="1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Bastia</w:t>
            </w:r>
          </w:p>
        </w:tc>
        <w:tc>
          <w:tcPr>
            <w:tcW w:type="dxa" w:w="13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532</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0.923</w:t>
            </w:r>
          </w:p>
        </w:tc>
        <w:tc>
          <w:tcPr>
            <w:tcW w:type="dxa" w:w="11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0.301</w:t>
            </w:r>
          </w:p>
        </w:tc>
        <w:tc>
          <w:tcPr>
            <w:tcW w:type="dxa" w:w="1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0.384</w:t>
            </w:r>
          </w:p>
        </w:tc>
        <w:tc>
          <w:tcPr>
            <w:tcW w:type="dxa" w:w="23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0.275</w:t>
            </w:r>
          </w:p>
        </w:tc>
      </w:tr>
      <w:tr>
        <w:tc>
          <w:tcPr>
            <w:tcW w:type="dxa" w:w="1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Biarritz</w:t>
            </w:r>
          </w:p>
        </w:tc>
        <w:tc>
          <w:tcPr>
            <w:tcW w:type="dxa" w:w="13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590</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0.923</w:t>
            </w:r>
          </w:p>
        </w:tc>
        <w:tc>
          <w:tcPr>
            <w:tcW w:type="dxa" w:w="11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0.394</w:t>
            </w:r>
          </w:p>
        </w:tc>
        <w:tc>
          <w:tcPr>
            <w:tcW w:type="dxa" w:w="1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bCs/>
                <w:sz w:val="18"/>
                <w:szCs w:val="18"/>
              </w:rPr>
              <w:t xml:space="preserve">0.463</w:t>
            </w:r>
          </w:p>
        </w:tc>
        <w:tc>
          <w:tcPr>
            <w:tcW w:type="dxa" w:w="23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0.224</w:t>
            </w:r>
          </w:p>
        </w:tc>
      </w:tr>
      <w:tr>
        <w:tc>
          <w:tcPr>
            <w:tcW w:type="dxa" w:w="1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Nantes</w:t>
            </w:r>
          </w:p>
        </w:tc>
        <w:tc>
          <w:tcPr>
            <w:tcW w:type="dxa" w:w="13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206</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0.896</w:t>
            </w:r>
          </w:p>
        </w:tc>
        <w:tc>
          <w:tcPr>
            <w:tcW w:type="dxa" w:w="11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0.360</w:t>
            </w:r>
          </w:p>
        </w:tc>
        <w:tc>
          <w:tcPr>
            <w:tcW w:type="dxa" w:w="1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0.407</w:t>
            </w:r>
          </w:p>
        </w:tc>
        <w:tc>
          <w:tcPr>
            <w:tcW w:type="dxa" w:w="23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0.083</w:t>
            </w:r>
          </w:p>
        </w:tc>
      </w:tr>
      <w:tr>
        <w:tc>
          <w:tcPr>
            <w:tcW w:type="dxa" w:w="1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Pise</w:t>
            </w:r>
          </w:p>
        </w:tc>
        <w:tc>
          <w:tcPr>
            <w:tcW w:type="dxa" w:w="13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769</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0.929</w:t>
            </w:r>
          </w:p>
        </w:tc>
        <w:tc>
          <w:tcPr>
            <w:tcW w:type="dxa" w:w="11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0.416</w:t>
            </w:r>
          </w:p>
        </w:tc>
        <w:tc>
          <w:tcPr>
            <w:tcW w:type="dxa" w:w="1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0.442</w:t>
            </w:r>
          </w:p>
        </w:tc>
        <w:tc>
          <w:tcPr>
            <w:tcW w:type="dxa" w:w="23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0.528</w:t>
            </w:r>
          </w:p>
        </w:tc>
      </w:tr>
    </w:tbl>
    <w:p>
      <w:pPr>
        <w:spacing w:after="100" w:before="80"/>
        <w:jc w:val="both"/>
      </w:pPr>
      <w:r>
        <w:rPr>
          <w:rFonts w:ascii="Arial" w:cs="Arial" w:eastAsia="Arial" w:hAnsi="Arial"/>
          <w:sz w:val="22"/>
          <w:szCs w:val="22"/>
        </w:rPr>
        <w:t xml:space="preserve"/>
      </w:r>
    </w:p>
    <w:p>
      <w:pPr>
        <w:pStyle w:val="Heading2"/>
        <w:spacing w:after="120" w:before="220"/>
      </w:pPr>
      <w:r>
        <w:rPr>
          <w:rFonts w:ascii="Arial" w:cs="Arial" w:eastAsia="Arial" w:hAnsi="Arial"/>
          <w:b/>
          <w:bCs/>
          <w:sz w:val="26"/>
          <w:szCs w:val="26"/>
        </w:rPr>
        <w:t xml:space="preserve">5.5 Variables les plus importantes</w:t>
      </w:r>
    </w:p>
    <w:p>
      <w:pPr>
        <w:spacing w:after="100" w:before="80"/>
        <w:jc w:val="both"/>
      </w:pPr>
      <w:r>
        <w:rPr>
          <w:rFonts w:ascii="Arial" w:cs="Arial" w:eastAsia="Arial" w:hAnsi="Arial"/>
          <w:sz w:val="22"/>
          <w:szCs w:val="22"/>
        </w:rPr>
        <w:t xml:space="preserve">Le classement des variables par importance moyenne sur les 5 folds (gain de LightGBM) est coherent avec les observations de l'EDA et les intuitions physiques. Les variables spatiales (azimuth, distance) et temporelles (temps inter-eclairs, duree d'alerte) dominent, confirmant que la trajectoire et le rythme de l'orage sont les signaux les plus informatifs.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026"/>
        <w:gridCol w:w="4000"/>
      </w:tblGrid>
      <w:tr>
        <w:trPr>
          <w:tblHeader/>
        </w:trPr>
        <w:tc>
          <w:tcPr>
            <w:tcW w:type="dxa" w:w="600"/>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pPr>
              <w:jc w:val="center"/>
            </w:pPr>
            <w:r>
              <w:rPr>
                <w:rFonts w:ascii="Arial" w:cs="Arial" w:eastAsia="Arial" w:hAnsi="Arial"/>
                <w:b/>
                <w:bCs/>
                <w:sz w:val="18"/>
                <w:szCs w:val="18"/>
              </w:rPr>
              <w:t xml:space="preserve">#</w:t>
            </w:r>
          </w:p>
        </w:tc>
        <w:tc>
          <w:tcPr>
            <w:tcW w:type="dxa" w:w="2400"/>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pPr>
              <w:jc w:val="left"/>
            </w:pPr>
            <w:r>
              <w:rPr>
                <w:rFonts w:ascii="Arial" w:cs="Arial" w:eastAsia="Arial" w:hAnsi="Arial"/>
                <w:b/>
                <w:bCs/>
                <w:sz w:val="18"/>
                <w:szCs w:val="18"/>
              </w:rPr>
              <w:t xml:space="preserve">Variable</w:t>
            </w:r>
          </w:p>
        </w:tc>
        <w:tc>
          <w:tcPr>
            <w:tcW w:type="dxa" w:w="2026"/>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pPr>
              <w:jc w:val="left"/>
            </w:pPr>
            <w:r>
              <w:rPr>
                <w:rFonts w:ascii="Arial" w:cs="Arial" w:eastAsia="Arial" w:hAnsi="Arial"/>
                <w:b/>
                <w:bCs/>
                <w:sz w:val="18"/>
                <w:szCs w:val="18"/>
              </w:rPr>
              <w:t xml:space="preserve">Categorie</w:t>
            </w:r>
          </w:p>
        </w:tc>
        <w:tc>
          <w:tcPr>
            <w:tcW w:type="dxa" w:w="4000"/>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pPr>
              <w:jc w:val="left"/>
            </w:pPr>
            <w:r>
              <w:rPr>
                <w:rFonts w:ascii="Arial" w:cs="Arial" w:eastAsia="Arial" w:hAnsi="Arial"/>
                <w:b/>
                <w:bCs/>
                <w:sz w:val="18"/>
                <w:szCs w:val="18"/>
              </w:rPr>
              <w:t xml:space="preserve">Interpretation</w:t>
            </w:r>
          </w:p>
        </w:tc>
      </w:tr>
      <w:tr>
        <w:tc>
          <w:tcPr>
            <w:tcW w:type="dxa" w:w="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w:t>
            </w:r>
          </w:p>
        </w:tc>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azimuth</w:t>
            </w:r>
          </w:p>
        </w:tc>
        <w:tc>
          <w:tcPr>
            <w:tcW w:type="dxa" w:w="20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Spatial</w:t>
            </w:r>
          </w:p>
        </w:tc>
        <w:tc>
          <w:tcPr>
            <w:tcW w:type="dxa" w:w="4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Direction de l'orage - trajectoire d'approche ou d'eloignement</w:t>
            </w:r>
          </w:p>
        </w:tc>
      </w:tr>
      <w:tr>
        <w:tc>
          <w:tcPr>
            <w:tcW w:type="dxa" w:w="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w:t>
            </w:r>
          </w:p>
        </w:tc>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dt_prev_s</w:t>
            </w:r>
          </w:p>
        </w:tc>
        <w:tc>
          <w:tcPr>
            <w:tcW w:type="dxa" w:w="20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Temporel</w:t>
            </w:r>
          </w:p>
        </w:tc>
        <w:tc>
          <w:tcPr>
            <w:tcW w:type="dxa" w:w="4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Temps inter-eclairs - espacement croissant = fin proche</w:t>
            </w:r>
          </w:p>
        </w:tc>
      </w:tr>
      <w:tr>
        <w:tc>
          <w:tcPr>
            <w:tcW w:type="dxa" w:w="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3</w:t>
            </w:r>
          </w:p>
        </w:tc>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maxis</w:t>
            </w:r>
          </w:p>
        </w:tc>
        <w:tc>
          <w:tcPr>
            <w:tcW w:type="dxa" w:w="20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Intensite</w:t>
            </w:r>
          </w:p>
        </w:tc>
        <w:tc>
          <w:tcPr>
            <w:tcW w:type="dxa" w:w="4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Courant crete - declin de l'energie orageuse</w:t>
            </w:r>
          </w:p>
        </w:tc>
      </w:tr>
      <w:tr>
        <w:tc>
          <w:tcPr>
            <w:tcW w:type="dxa" w:w="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4</w:t>
            </w:r>
          </w:p>
        </w:tc>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dist_trend_3</w:t>
            </w:r>
          </w:p>
        </w:tc>
        <w:tc>
          <w:tcPr>
            <w:tcW w:type="dxa" w:w="20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Spatial</w:t>
            </w:r>
          </w:p>
        </w:tc>
        <w:tc>
          <w:tcPr>
            <w:tcW w:type="dxa" w:w="4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Tendance de distance (3 derniers eclairs) - orage qui s'eloigne</w:t>
            </w:r>
          </w:p>
        </w:tc>
      </w:tr>
      <w:tr>
        <w:tc>
          <w:tcPr>
            <w:tcW w:type="dxa" w:w="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5</w:t>
            </w:r>
          </w:p>
        </w:tc>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amp_abs</w:t>
            </w:r>
          </w:p>
        </w:tc>
        <w:tc>
          <w:tcPr>
            <w:tcW w:type="dxa" w:w="20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Intensite</w:t>
            </w:r>
          </w:p>
        </w:tc>
        <w:tc>
          <w:tcPr>
            <w:tcW w:type="dxa" w:w="4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Amplitude absolue - energie residuelle</w:t>
            </w:r>
          </w:p>
        </w:tc>
      </w:tr>
      <w:tr>
        <w:tc>
          <w:tcPr>
            <w:tcW w:type="dxa" w:w="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6</w:t>
            </w:r>
          </w:p>
        </w:tc>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dist_trend_5</w:t>
            </w:r>
          </w:p>
        </w:tc>
        <w:tc>
          <w:tcPr>
            <w:tcW w:type="dxa" w:w="20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Spatial</w:t>
            </w:r>
          </w:p>
        </w:tc>
        <w:tc>
          <w:tcPr>
            <w:tcW w:type="dxa" w:w="4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Tendance de distance (5 derniers eclairs)</w:t>
            </w:r>
          </w:p>
        </w:tc>
      </w:tr>
      <w:tr>
        <w:tc>
          <w:tcPr>
            <w:tcW w:type="dxa" w:w="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7</w:t>
            </w:r>
          </w:p>
        </w:tc>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dist_mean_3</w:t>
            </w:r>
          </w:p>
        </w:tc>
        <w:tc>
          <w:tcPr>
            <w:tcW w:type="dxa" w:w="20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Spatial</w:t>
            </w:r>
          </w:p>
        </w:tc>
        <w:tc>
          <w:tcPr>
            <w:tcW w:type="dxa" w:w="4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Distance moyenne sur les 3 derniers eclairs</w:t>
            </w:r>
          </w:p>
        </w:tc>
      </w:tr>
      <w:tr>
        <w:tc>
          <w:tcPr>
            <w:tcW w:type="dxa" w:w="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8</w:t>
            </w:r>
          </w:p>
        </w:tc>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t_since_start_s</w:t>
            </w:r>
          </w:p>
        </w:tc>
        <w:tc>
          <w:tcPr>
            <w:tcW w:type="dxa" w:w="20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Temporel</w:t>
            </w:r>
          </w:p>
        </w:tc>
        <w:tc>
          <w:tcPr>
            <w:tcW w:type="dxa" w:w="4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Duree ecoulee de l'alerte</w:t>
            </w:r>
          </w:p>
        </w:tc>
      </w:tr>
      <w:tr>
        <w:tc>
          <w:tcPr>
            <w:tcW w:type="dxa" w:w="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9</w:t>
            </w:r>
          </w:p>
        </w:tc>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dist</w:t>
            </w:r>
          </w:p>
        </w:tc>
        <w:tc>
          <w:tcPr>
            <w:tcW w:type="dxa" w:w="20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Spatial</w:t>
            </w:r>
          </w:p>
        </w:tc>
        <w:tc>
          <w:tcPr>
            <w:tcW w:type="dxa" w:w="4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Distance instantanee a l'aeroport</w:t>
            </w:r>
          </w:p>
        </w:tc>
      </w:tr>
      <w:tr>
        <w:tc>
          <w:tcPr>
            <w:tcW w:type="dxa" w:w="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10</w:t>
            </w:r>
          </w:p>
        </w:tc>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rank_cg</w:t>
            </w:r>
          </w:p>
        </w:tc>
        <w:tc>
          <w:tcPr>
            <w:tcW w:type="dxa" w:w="20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Temporel</w:t>
            </w:r>
          </w:p>
        </w:tc>
        <w:tc>
          <w:tcPr>
            <w:tcW w:type="dxa" w:w="4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Rang de l'eclair dans l'alerte</w:t>
            </w:r>
          </w:p>
        </w:tc>
      </w:tr>
    </w:tbl>
    <w:p>
      <w:pPr>
        <w:spacing w:after="100" w:before="80"/>
        <w:jc w:val="both"/>
      </w:pPr>
      <w:r>
        <w:rPr>
          <w:rFonts w:ascii="Arial" w:cs="Arial" w:eastAsia="Arial" w:hAnsi="Arial"/>
          <w:sz w:val="22"/>
          <w:szCs w:val="22"/>
        </w:rPr>
        <w:t xml:space="preserve"/>
      </w:r>
    </w:p>
    <w:p>
      <w:pPr>
        <w:spacing w:after="60" w:before="120"/>
        <w:jc w:val="center"/>
      </w:pPr>
      <w:r>
        <w:drawing>
          <wp:inline distT="0" distB="0" distL="0" distR="0">
            <wp:extent cx="600075" cy="609600"/>
            <wp:effectExtent t="0" r="0" b="0" l="0"/>
            <wp:docPr id="1" name="07_feature_importance.png" descr="07_feature_importance.png" title="07_feature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0075" cy="609600"/>
                    </a:xfrm>
                    <a:prstGeom prst="rect">
                      <a:avLst/>
                    </a:prstGeom>
                  </pic:spPr>
                </pic:pic>
              </a:graphicData>
            </a:graphic>
          </wp:inline>
        </w:drawing>
      </w:r>
    </w:p>
    <w:p>
      <w:pPr>
        <w:spacing w:after="200" w:before="40"/>
        <w:jc w:val="center"/>
      </w:pPr>
      <w:r>
        <w:rPr>
          <w:rFonts w:ascii="Arial" w:cs="Arial" w:eastAsia="Arial" w:hAnsi="Arial"/>
          <w:i/>
          <w:iCs/>
          <w:sz w:val="18"/>
          <w:szCs w:val="18"/>
        </w:rPr>
        <w:t xml:space="preserve">Figure 12 - Importance des variables par gain moyen (LightGBM, modele V3). Les variables spatiales et temporelles dominent nettement.</w:t>
      </w:r>
    </w:p>
    <w:p>
      <w:r>
        <w:br w:type="page"/>
      </w:r>
    </w:p>
    <w:p>
      <w:pPr>
        <w:pStyle w:val="Heading1"/>
        <w:spacing w:after="160" w:before="320"/>
      </w:pPr>
      <w:r>
        <w:rPr>
          <w:rFonts w:ascii="Arial" w:cs="Arial" w:eastAsia="Arial" w:hAnsi="Arial"/>
          <w:b/>
          <w:bCs/>
          <w:sz w:val="32"/>
          <w:szCs w:val="32"/>
        </w:rPr>
        <w:t xml:space="preserve">6. Comparaison des approches</w:t>
      </w:r>
    </w:p>
    <w:p>
      <w:pPr>
        <w:spacing w:after="60" w:before="120"/>
        <w:jc w:val="center"/>
      </w:pPr>
      <w:r>
        <w:drawing>
          <wp:inline distT="0" distB="0" distL="0" distR="0">
            <wp:extent cx="1085850" cy="304800"/>
            <wp:effectExtent t="0" r="0" b="0" l="0"/>
            <wp:docPr id="1" name="12_model_v3_results.png" descr="12_model_v3_results.png" title="12_model_v3_resul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085850" cy="304800"/>
                    </a:xfrm>
                    <a:prstGeom prst="rect">
                      <a:avLst/>
                    </a:prstGeom>
                  </pic:spPr>
                </pic:pic>
              </a:graphicData>
            </a:graphic>
          </wp:inline>
        </w:drawing>
      </w:r>
    </w:p>
    <w:p>
      <w:pPr>
        <w:spacing w:after="200" w:before="40"/>
        <w:jc w:val="center"/>
      </w:pPr>
      <w:r>
        <w:rPr>
          <w:rFonts w:ascii="Arial" w:cs="Arial" w:eastAsia="Arial" w:hAnsi="Arial"/>
          <w:i/>
          <w:iCs/>
          <w:sz w:val="18"/>
          <w:szCs w:val="18"/>
        </w:rPr>
        <w:t xml:space="preserve">Figure 13 - Resultats detailles du modele V3 (contexte IC) : courbe gain-risque et distribution par aeroport.</w:t>
      </w:r>
    </w:p>
    <w:p>
      <w:pPr>
        <w:spacing w:after="60" w:before="120"/>
        <w:jc w:val="center"/>
      </w:pPr>
      <w:r>
        <w:drawing>
          <wp:inline distT="0" distB="0" distL="0" distR="0">
            <wp:extent cx="962025" cy="304800"/>
            <wp:effectExtent t="0" r="0" b="0" l="0"/>
            <wp:docPr id="1" name="13_comparison_final.png" descr="13_comparison_final.png" title="13_comparison_fi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962025" cy="304800"/>
                    </a:xfrm>
                    <a:prstGeom prst="rect">
                      <a:avLst/>
                    </a:prstGeom>
                  </pic:spPr>
                </pic:pic>
              </a:graphicData>
            </a:graphic>
          </wp:inline>
        </w:drawing>
      </w:r>
    </w:p>
    <w:p>
      <w:pPr>
        <w:spacing w:after="200" w:before="40"/>
        <w:jc w:val="center"/>
      </w:pPr>
      <w:r>
        <w:rPr>
          <w:rFonts w:ascii="Arial" w:cs="Arial" w:eastAsia="Arial" w:hAnsi="Arial"/>
          <w:i/>
          <w:iCs/>
          <w:sz w:val="18"/>
          <w:szCs w:val="18"/>
        </w:rPr>
        <w:t xml:space="preserve">Figure 14 - Comparaison finale des trois modeles sur les metriques de gain et risque en conditions operationnelles.</w:t>
      </w:r>
    </w:p>
    <w:p>
      <w:pPr>
        <w:spacing w:after="100" w:before="80"/>
        <w:jc w:val="both"/>
      </w:pPr>
      <w:r>
        <w:rPr>
          <w:rFonts w:ascii="Arial" w:cs="Arial" w:eastAsia="Arial" w:hAnsi="Arial"/>
          <w:sz w:val="22"/>
          <w:szCs w:val="22"/>
        </w:rPr>
        <w:t xml:space="preserve">La comparaison confirme la hierarchie attendue : la specialisation par aeroport apporte un gain operationnel considerablement superieur (+165% vs V2) car elle permet d'adapter le seuil de decision aux caracteristiques propres de chaque site. Le modele V3 global reste utile pour les sites non couverts par un modele dedie, sa generalisation etant meilleure que V2 (AUC superieur).</w:t>
      </w:r>
    </w:p>
    <w:p>
      <w:pPr>
        <w:spacing w:after="100" w:before="80"/>
        <w:jc w:val="both"/>
      </w:pPr>
      <w:r>
        <w:rPr>
          <w:rFonts w:ascii="Arial" w:cs="Arial" w:eastAsia="Arial" w:hAnsi="Arial"/>
          <w:sz w:val="22"/>
          <w:szCs w:val="22"/>
        </w:rPr>
        <w:t xml:space="preserve">La conclusion principale est que les variables IC apportent une amelioration significative du discriminant (AUC +1.3%, F1 +10%) tandis que la specialisation par site optimise le trade-off gain-risque. Les deux innovations sont donc complementaires.</w:t>
      </w:r>
    </w:p>
    <w:p>
      <w:r>
        <w:br w:type="page"/>
      </w:r>
    </w:p>
    <w:p>
      <w:pPr>
        <w:pStyle w:val="Heading1"/>
        <w:spacing w:after="160" w:before="320"/>
      </w:pPr>
      <w:r>
        <w:rPr>
          <w:rFonts w:ascii="Arial" w:cs="Arial" w:eastAsia="Arial" w:hAnsi="Arial"/>
          <w:b/>
          <w:bCs/>
          <w:sz w:val="32"/>
          <w:szCs w:val="32"/>
        </w:rPr>
        <w:t xml:space="preserve">7. Discussion</w:t>
      </w:r>
    </w:p>
    <w:p>
      <w:pPr>
        <w:pStyle w:val="Heading2"/>
        <w:spacing w:after="120" w:before="220"/>
      </w:pPr>
      <w:r>
        <w:rPr>
          <w:rFonts w:ascii="Arial" w:cs="Arial" w:eastAsia="Arial" w:hAnsi="Arial"/>
          <w:b/>
          <w:bCs/>
          <w:sz w:val="26"/>
          <w:szCs w:val="26"/>
        </w:rPr>
        <w:t xml:space="preserve">7.1 Apport des variables IC</w:t>
      </w:r>
    </w:p>
    <w:p>
      <w:pPr>
        <w:spacing w:after="100" w:before="80"/>
        <w:jc w:val="both"/>
      </w:pPr>
      <w:r>
        <w:rPr>
          <w:rFonts w:ascii="Arial" w:cs="Arial" w:eastAsia="Arial" w:hAnsi="Arial"/>
          <w:sz w:val="22"/>
          <w:szCs w:val="22"/>
        </w:rPr>
        <w:t xml:space="preserve">L'integration des eclairs intra-nuage comme contexte constitue l'innovation principale de ce travail. Elle repose sur une hypothese physique etablie dans la litterature : le rapport IC/CG augmente durant la phase de dissipation orageuse, les decharges intra-nuage subsistant apres l'arret des eclairs sol. Cette hypothese est confirmee quantitativement par les donnees : le ratio IC/CG sur la fenetre de 5 minutes est superieur de 9% pour le dernier eclair CG vs les eclairs non-terminaux.</w:t>
      </w:r>
    </w:p>
    <w:p>
      <w:pPr>
        <w:pStyle w:val="Heading2"/>
        <w:spacing w:after="120" w:before="220"/>
      </w:pPr>
      <w:r>
        <w:rPr>
          <w:rFonts w:ascii="Arial" w:cs="Arial" w:eastAsia="Arial" w:hAnsi="Arial"/>
          <w:b/>
          <w:bCs/>
          <w:sz w:val="26"/>
          <w:szCs w:val="26"/>
        </w:rPr>
        <w:t xml:space="preserve">7.2 Heterogeneite des aeroports</w:t>
      </w:r>
    </w:p>
    <w:p>
      <w:pPr>
        <w:spacing w:after="100" w:before="80"/>
        <w:jc w:val="both"/>
      </w:pPr>
      <w:r>
        <w:rPr>
          <w:rFonts w:ascii="Arial" w:cs="Arial" w:eastAsia="Arial" w:hAnsi="Arial"/>
          <w:sz w:val="22"/>
          <w:szCs w:val="22"/>
        </w:rPr>
        <w:t xml:space="preserve">La variabilite des seuils optimaux entre aeroports (0.08 pour Nantes, 0.53 pour Pise) reflete des comportements orageux fondamentalement differents. Les aeroports mediterraneens (Ajaccio, Bastia) subissent des orages intenses a duree courte, avec des fins abruptes et previsibles. Les aeroports atlantiques et continentaux (Biarritz, Nantes) font face a des orages plus variables, ou le modele est naturellement moins confiant et doit abaisser son seuil pour maintenir un gain suffisant.</w:t>
      </w:r>
    </w:p>
    <w:p>
      <w:pPr>
        <w:pStyle w:val="Heading2"/>
        <w:spacing w:after="120" w:before="220"/>
      </w:pPr>
      <w:r>
        <w:rPr>
          <w:rFonts w:ascii="Arial" w:cs="Arial" w:eastAsia="Arial" w:hAnsi="Arial"/>
          <w:b/>
          <w:bCs/>
          <w:sz w:val="26"/>
          <w:szCs w:val="26"/>
        </w:rPr>
        <w:t xml:space="preserve">7.3 Limites du modele actuel</w:t>
      </w:r>
    </w:p>
    <w:p>
      <w:pPr>
        <w:pStyle w:val="ListParagraph"/>
        <w:numPr>
          <w:ilvl w:val="0"/>
          <w:numId w:val="2"/>
        </w:numPr>
        <w:spacing w:after="40" w:before="40"/>
      </w:pPr>
      <w:r>
        <w:rPr>
          <w:rFonts w:ascii="Arial" w:cs="Arial" w:eastAsia="Arial" w:hAnsi="Arial"/>
          <w:sz w:val="22"/>
          <w:szCs w:val="22"/>
        </w:rPr>
        <w:t xml:space="preserve">La precision globale reste moderee (0.37) : environ 63% des alertes levees en avance correspondent a des faux positifs, ce qui conduit a un theta operationnel eleve (0.90) qui reduit le gain potentiel.</w:t>
      </w:r>
    </w:p>
    <w:p>
      <w:pPr>
        <w:pStyle w:val="ListParagraph"/>
        <w:numPr>
          <w:ilvl w:val="0"/>
          <w:numId w:val="2"/>
        </w:numPr>
        <w:spacing w:after="40" w:before="40"/>
      </w:pPr>
      <w:r>
        <w:rPr>
          <w:rFonts w:ascii="Arial" w:cs="Arial" w:eastAsia="Arial" w:hAnsi="Arial"/>
          <w:sz w:val="22"/>
          <w:szCs w:val="22"/>
        </w:rPr>
        <w:t xml:space="preserve">Le modele traite chaque eclair independamment, sans memoire sequentielle explicite de la trajectoire de l'alerte.</w:t>
      </w:r>
    </w:p>
    <w:p>
      <w:pPr>
        <w:pStyle w:val="ListParagraph"/>
        <w:numPr>
          <w:ilvl w:val="0"/>
          <w:numId w:val="2"/>
        </w:numPr>
        <w:spacing w:after="40" w:before="40"/>
      </w:pPr>
      <w:r>
        <w:rPr>
          <w:rFonts w:ascii="Arial" w:cs="Arial" w:eastAsia="Arial" w:hAnsi="Arial"/>
          <w:sz w:val="22"/>
          <w:szCs w:val="22"/>
        </w:rPr>
        <w:t xml:space="preserve">Les variables IC sont calculees globalement (rayons larges), sans filtrage geodesique fin autour de l'aeroport.</w:t>
      </w:r>
    </w:p>
    <w:p>
      <w:pPr>
        <w:pStyle w:val="ListParagraph"/>
        <w:numPr>
          <w:ilvl w:val="0"/>
          <w:numId w:val="2"/>
        </w:numPr>
        <w:spacing w:after="40" w:before="40"/>
      </w:pPr>
      <w:r>
        <w:rPr>
          <w:rFonts w:ascii="Arial" w:cs="Arial" w:eastAsia="Arial" w:hAnsi="Arial"/>
          <w:sz w:val="22"/>
          <w:szCs w:val="22"/>
        </w:rPr>
        <w:t xml:space="preserve">L'absence de donnees meteorologiques numeriques (vent, CAPE, humidite) prive le modele de predicteurs physiques supplementaires a forte valeur ajoutee.</w:t>
      </w:r>
    </w:p>
    <w:p>
      <w:pPr>
        <w:pStyle w:val="Heading2"/>
        <w:spacing w:after="120" w:before="220"/>
      </w:pPr>
      <w:r>
        <w:rPr>
          <w:rFonts w:ascii="Arial" w:cs="Arial" w:eastAsia="Arial" w:hAnsi="Arial"/>
          <w:b/>
          <w:bCs/>
          <w:sz w:val="26"/>
          <w:szCs w:val="26"/>
        </w:rPr>
        <w:t xml:space="preserve">7.4 Comparaison avec la baseline Meteorage</w:t>
      </w:r>
    </w:p>
    <w:p>
      <w:pPr>
        <w:spacing w:after="100" w:before="80"/>
        <w:jc w:val="both"/>
      </w:pPr>
      <w:r>
        <w:rPr>
          <w:rFonts w:ascii="Arial" w:cs="Arial" w:eastAsia="Arial" w:hAnsi="Arial"/>
          <w:sz w:val="22"/>
          <w:szCs w:val="22"/>
        </w:rPr>
        <w:t xml:space="preserve">Meteorage indique une performance de 80.77% en accuracy avec des methodes statistiques pures. Notre modele atteint 95.4% d'accuracy au seuil de 0.65, mais cette metrique est peu pertinente ici en raison du fort desequilibre de classes. La comparaison pertinente s'effectue sur la metrique operationnelle : 213.8 heures recuperees vs 0 pour la regle fixe de 30 minutes, avec un risque controle a 1.15% bien en deca des 2% requis.</w:t>
      </w:r>
    </w:p>
    <w:p>
      <w:r>
        <w:br w:type="page"/>
      </w:r>
    </w:p>
    <w:p>
      <w:pPr>
        <w:pStyle w:val="Heading1"/>
        <w:spacing w:after="160" w:before="320"/>
      </w:pPr>
      <w:r>
        <w:rPr>
          <w:rFonts w:ascii="Arial" w:cs="Arial" w:eastAsia="Arial" w:hAnsi="Arial"/>
          <w:b/>
          <w:bCs/>
          <w:sz w:val="32"/>
          <w:szCs w:val="32"/>
        </w:rPr>
        <w:t xml:space="preserve">8. Pistes d'amelioration</w:t>
      </w:r>
    </w:p>
    <w:p>
      <w:pPr>
        <w:pStyle w:val="Heading2"/>
        <w:spacing w:after="120" w:before="220"/>
      </w:pPr>
      <w:r>
        <w:rPr>
          <w:rFonts w:ascii="Arial" w:cs="Arial" w:eastAsia="Arial" w:hAnsi="Arial"/>
          <w:b/>
          <w:bCs/>
          <w:sz w:val="26"/>
          <w:szCs w:val="26"/>
        </w:rPr>
        <w:t xml:space="preserve">8.1 Amelioration du F1 et reduction des faux positifs</w:t>
      </w:r>
    </w:p>
    <w:p>
      <w:pPr>
        <w:spacing w:after="100" w:before="80"/>
        <w:jc w:val="both"/>
      </w:pPr>
      <w:r>
        <w:rPr>
          <w:rFonts w:ascii="Arial" w:cs="Arial" w:eastAsia="Arial" w:hAnsi="Arial"/>
          <w:sz w:val="22"/>
          <w:szCs w:val="22"/>
        </w:rPr>
        <w:t xml:space="preserve">Plusieurs strategies permettraient d'ameliorer la precision sans degrader le rappel. Un post-processing par decision consecutif exigerait K eclairs successifs avec score &gt;= theta avant de lever l'alerte, limitant les faux positifs dus a des pics isoles. La calibration des probabilites (Platt scaling, regression isotonique) permettrait un meilleur alignement des scores avec les probabilites posterieures reelles. Un ensemble combinant le modele V3 global et les modeles par aeroport via un meta-apprenants exploiterait les forces complementaires des deux approches.</w:t>
      </w:r>
    </w:p>
    <w:p>
      <w:pPr>
        <w:pStyle w:val="Heading2"/>
        <w:spacing w:after="120" w:before="220"/>
      </w:pPr>
      <w:r>
        <w:rPr>
          <w:rFonts w:ascii="Arial" w:cs="Arial" w:eastAsia="Arial" w:hAnsi="Arial"/>
          <w:b/>
          <w:bCs/>
          <w:sz w:val="26"/>
          <w:szCs w:val="26"/>
        </w:rPr>
        <w:t xml:space="preserve">8.2 Modeles sequentiels</w:t>
      </w:r>
    </w:p>
    <w:p>
      <w:pPr>
        <w:spacing w:after="100" w:before="80"/>
        <w:jc w:val="both"/>
      </w:pPr>
      <w:r>
        <w:rPr>
          <w:rFonts w:ascii="Arial" w:cs="Arial" w:eastAsia="Arial" w:hAnsi="Arial"/>
          <w:sz w:val="22"/>
          <w:szCs w:val="22"/>
        </w:rPr>
        <w:t xml:space="preserve">Le modele actuel traite chaque eclair independamment. Un modele sequentiel (LSTM, Transformer) qui modelerait explicitement la trajectoire temporelle complete de l'alerte pourrait capturer des patterns de declin sur plusieurs dizaines de minutes. Une approche hybride combinant un encodage de sequence avec les features engineered actuelles represente une voie prometteuse.</w:t>
      </w:r>
    </w:p>
    <w:p>
      <w:pPr>
        <w:pStyle w:val="Heading2"/>
        <w:spacing w:after="120" w:before="220"/>
      </w:pPr>
      <w:r>
        <w:rPr>
          <w:rFonts w:ascii="Arial" w:cs="Arial" w:eastAsia="Arial" w:hAnsi="Arial"/>
          <w:b/>
          <w:bCs/>
          <w:sz w:val="26"/>
          <w:szCs w:val="26"/>
        </w:rPr>
        <w:t xml:space="preserve">8.3 Enrichissement des donnees</w:t>
      </w:r>
    </w:p>
    <w:p>
      <w:pPr>
        <w:spacing w:after="100" w:before="80"/>
        <w:jc w:val="both"/>
      </w:pPr>
      <w:r>
        <w:rPr>
          <w:rFonts w:ascii="Arial" w:cs="Arial" w:eastAsia="Arial" w:hAnsi="Arial"/>
          <w:sz w:val="22"/>
          <w:szCs w:val="22"/>
        </w:rPr>
        <w:t xml:space="preserve">L'integration de donnees meteorologiques numeriques (previsions NWP : vent, CAPE, cisaillement) constituerait un enrichissement majeur. Les images satellites infrarouges (temperature des sommets nuageux) et les donnees radar offriraient des informations supplementaires sur l'etat de la cellule convective. L'apprentissage par analogie sur des historiques d'orages similaires (profil CG, IC, distance) pourrait completer l'approche statistique.</w:t>
      </w:r>
    </w:p>
    <w:p>
      <w:pPr>
        <w:pStyle w:val="Heading2"/>
        <w:spacing w:after="120" w:before="220"/>
      </w:pPr>
      <w:r>
        <w:rPr>
          <w:rFonts w:ascii="Arial" w:cs="Arial" w:eastAsia="Arial" w:hAnsi="Arial"/>
          <w:b/>
          <w:bCs/>
          <w:sz w:val="26"/>
          <w:szCs w:val="26"/>
        </w:rPr>
        <w:t xml:space="preserve">8.4 Prediction d'un temps de fin</w:t>
      </w:r>
    </w:p>
    <w:p>
      <w:pPr>
        <w:spacing w:after="100" w:before="80"/>
        <w:jc w:val="both"/>
      </w:pPr>
      <w:r>
        <w:rPr>
          <w:rFonts w:ascii="Arial" w:cs="Arial" w:eastAsia="Arial" w:hAnsi="Arial"/>
          <w:sz w:val="22"/>
          <w:szCs w:val="22"/>
        </w:rPr>
        <w:t xml:space="preserve">La formulation actuelle est binaire : cet eclair est-il le dernier ? Une reformulation en regression estimerait directement un temps de fin de l'orage, permettant une gestion plus fine de l'incertitude. Cette approche, plus ambitieuse, permettrait de moduler la duree d'alerte residuelle en continu plutot que par un seuil binaire.</w:t>
      </w:r>
    </w:p>
    <w:p>
      <w:r>
        <w:br w:type="page"/>
      </w:r>
    </w:p>
    <w:p>
      <w:pPr>
        <w:pStyle w:val="Heading1"/>
        <w:spacing w:after="160" w:before="320"/>
      </w:pPr>
      <w:r>
        <w:rPr>
          <w:rFonts w:ascii="Arial" w:cs="Arial" w:eastAsia="Arial" w:hAnsi="Arial"/>
          <w:b/>
          <w:bCs/>
          <w:sz w:val="32"/>
          <w:szCs w:val="32"/>
        </w:rPr>
        <w:t xml:space="preserve">9. Conclusion</w:t>
      </w:r>
    </w:p>
    <w:p>
      <w:pPr>
        <w:spacing w:after="100" w:before="80"/>
        <w:jc w:val="both"/>
      </w:pPr>
      <w:r>
        <w:rPr>
          <w:rFonts w:ascii="Arial" w:cs="Arial" w:eastAsia="Arial" w:hAnsi="Arial"/>
          <w:sz w:val="22"/>
          <w:szCs w:val="22"/>
        </w:rPr>
        <w:t xml:space="preserve">Ce travail demontre qu'un modele d'apprentissage automatique entraine sur les patterns spatio-temporels des eclairs permet de depasser significativement la regle fixe de 30 minutes actuellement en vigueur chez Meteorage. Les resultats obtenus sur le jeu d'evaluation independant (2023-2025, 612 alertes) valident la robustesse de l'approche.</w:t>
      </w:r>
    </w:p>
    <w:p>
      <w:pPr>
        <w:spacing w:after="100" w:before="80"/>
        <w:jc w:val="both"/>
      </w:pPr>
      <w:r>
        <w:rPr>
          <w:rFonts w:ascii="Arial" w:cs="Arial" w:eastAsia="Arial" w:hAnsi="Arial"/>
          <w:sz w:val="22"/>
          <w:szCs w:val="22"/>
        </w:rPr>
        <w:t xml:space="preserve">Le modele par aeroport est le plus performant en conditions operationnelles avec 213.8 heures d'exploitation recuperees, soit 21 minutes par alerte en moyenne, et un risque controle a 1.15% (inferieur au seuil de 2%). Le modele V3 avec contexte IC est le meilleur discriminant statistique (AUC 0.9328, F1 0.433) et generalise mieux sur des sites non couverts par un modele dedie.</w:t>
      </w:r>
    </w:p>
    <w:p>
      <w:pPr>
        <w:spacing w:after="100" w:before="80"/>
        <w:jc w:val="both"/>
      </w:pPr>
      <w:r>
        <w:rPr>
          <w:rFonts w:ascii="Arial" w:cs="Arial" w:eastAsia="Arial" w:hAnsi="Arial"/>
          <w:sz w:val="22"/>
          <w:szCs w:val="22"/>
        </w:rPr>
        <w:t xml:space="preserve">Les deux innovations principales - l'utilisation des eclairs intra-nuage comme signal precurseur et la specialisation par aeroport - sont complementaires et toutes deux indispensables pour atteindre ces performances. Les pistes d'amelioration identifiees laissent anticiper des gains additionnels substantiels pour la suite du projet.</w:t>
      </w:r>
    </w:p>
    <w:p>
      <w:pPr>
        <w:spacing w:after="100" w:before="80"/>
        <w:jc w:val="both"/>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1"/>
              <w:left w:val="single" w:color="000000" w:sz="1"/>
              <w:bottom w:val="single" w:color="000000" w:sz="1"/>
              <w:right w:val="single" w:color="000000" w:sz="1"/>
            </w:tcBorders>
            <w:shd w:fill="F0F0F0" w:val="clear"/>
            <w:tcMar>
              <w:top w:type="dxa" w:w="160"/>
              <w:left w:type="dxa" w:w="200"/>
              <w:bottom w:type="dxa" w:w="160"/>
              <w:right w:type="dxa" w:w="200"/>
            </w:tcMar>
          </w:tcPr>
          <w:p>
            <w:pPr>
              <w:spacing w:after="60" w:before="40"/>
            </w:pPr>
            <w:r>
              <w:rPr>
                <w:rFonts w:ascii="Arial" w:cs="Arial" w:eastAsia="Arial" w:hAnsi="Arial"/>
                <w:b/>
                <w:bCs/>
                <w:sz w:val="24"/>
                <w:szCs w:val="24"/>
              </w:rPr>
              <w:t xml:space="preserve">Synthese des resultats</w:t>
            </w:r>
          </w:p>
          <w:p>
            <w:pPr>
              <w:spacing w:after="40" w:before="40"/>
            </w:pPr>
            <w:r>
              <w:rPr>
                <w:rFonts w:ascii="Arial" w:cs="Arial" w:eastAsia="Arial" w:hAnsi="Arial"/>
                <w:sz w:val="22"/>
                <w:szCs w:val="22"/>
              </w:rPr>
              <w:t xml:space="preserve">AUC = 0.9328 +/- 0.003 (modele V3)</w:t>
            </w:r>
          </w:p>
          <w:p>
            <w:pPr>
              <w:spacing w:after="40" w:before="40"/>
            </w:pPr>
            <w:r>
              <w:rPr>
                <w:rFonts w:ascii="Arial" w:cs="Arial" w:eastAsia="Arial" w:hAnsi="Arial"/>
                <w:sz w:val="22"/>
                <w:szCs w:val="22"/>
              </w:rPr>
              <w:t xml:space="preserve">F1 optimal = 0.433 (precision 0.375, rappel 0.513)</w:t>
            </w:r>
          </w:p>
          <w:p>
            <w:pPr>
              <w:spacing w:after="40" w:before="40"/>
            </w:pPr>
            <w:r>
              <w:rPr>
                <w:rFonts w:ascii="Arial" w:cs="Arial" w:eastAsia="Arial" w:hAnsi="Arial"/>
                <w:sz w:val="22"/>
                <w:szCs w:val="22"/>
              </w:rPr>
              <w:t xml:space="preserve">Gain operationnel = 213.8 h sur 612 alertes (modele par aeroport)</w:t>
            </w:r>
          </w:p>
          <w:p>
            <w:pPr>
              <w:spacing w:after="40" w:before="40"/>
            </w:pPr>
            <w:r>
              <w:rPr>
                <w:rFonts w:ascii="Arial" w:cs="Arial" w:eastAsia="Arial" w:hAnsi="Arial"/>
                <w:sz w:val="22"/>
                <w:szCs w:val="22"/>
              </w:rPr>
              <w:t xml:space="preserve">Risque = 1.15% &lt; 2% (contrainte respectee)</w:t>
            </w:r>
          </w:p>
          <w:p>
            <w:pPr>
              <w:spacing w:after="40" w:before="40"/>
            </w:pPr>
            <w:r>
              <w:rPr>
                <w:rFonts w:ascii="Arial" w:cs="Arial" w:eastAsia="Arial" w:hAnsi="Arial"/>
                <w:sz w:val="22"/>
                <w:szCs w:val="22"/>
              </w:rPr>
              <w:t xml:space="preserve">Gain moyen par alerte : ~21 minutes</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pBd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pBdr>
      <w:jc w:val="right"/>
    </w:pPr>
    <w:r>
      <w:rPr>
        <w:rFonts w:ascii="Arial" w:cs="Arial" w:eastAsia="Arial" w:hAnsi="Arial"/>
        <w:i/>
        <w:iCs/>
        <w:sz w:val="18"/>
        <w:szCs w:val="18"/>
      </w:rPr>
      <w:t xml:space="preserve">Data Battle 2026  |  Meteorage - Prediction de fin d'orage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00000"/>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000000"/>
      <w:sz w:val="26"/>
      <w:szCs w:val="26"/>
    </w:rPr>
  </w:style>
  <w:style w:type="paragraph" w:styleId="Heading3">
    <w:name w:val="Heading 3"/>
    <w:basedOn w:val="Normal"/>
    <w:next w:val="Normal"/>
    <w:qFormat/>
    <w:pPr>
      <w:spacing w:after="80" w:before="18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3c62bacf81975aa3a8a46e31a6465593857bc8c.png"/><Relationship Id="rId10" Type="http://schemas.openxmlformats.org/officeDocument/2006/relationships/image" Target="media/06828028b856742a69782b11b4b1b7d025324b7c.png"/><Relationship Id="rId11" Type="http://schemas.openxmlformats.org/officeDocument/2006/relationships/image" Target="media/9a8acc2e46c014304c08d20defa00592c8cae7dd.png"/><Relationship Id="rId12" Type="http://schemas.openxmlformats.org/officeDocument/2006/relationships/image" Target="media/5d2323d949bf2e57da07ba1abafe258b6d49fa40.png"/><Relationship Id="rId13" Type="http://schemas.openxmlformats.org/officeDocument/2006/relationships/image" Target="media/5c109047e635f9c35986448e4f6cd411251b8c74.png"/><Relationship Id="rId14" Type="http://schemas.openxmlformats.org/officeDocument/2006/relationships/image" Target="media/44156435d126bac1fb9765be0a1ec2245ee8e0e8.png"/><Relationship Id="rId15" Type="http://schemas.openxmlformats.org/officeDocument/2006/relationships/image" Target="media/831f53f80885839885d9cc7c20707bf7165e2cfc.png"/><Relationship Id="rId16" Type="http://schemas.openxmlformats.org/officeDocument/2006/relationships/image" Target="media/51d365403929f5f82a753b9ef9cf4123a9a2f0b1.png"/><Relationship Id="rId17" Type="http://schemas.openxmlformats.org/officeDocument/2006/relationships/image" Target="media/9aaace679218ea7167ebbe9a43971d71240c1386.png"/><Relationship Id="rId18" Type="http://schemas.openxmlformats.org/officeDocument/2006/relationships/image" Target="media/b006c5d733a544c9123196f193fd8f5553e1c2e0.png"/><Relationship Id="rId19" Type="http://schemas.openxmlformats.org/officeDocument/2006/relationships/image" Target="media/5c7d006f864277736c5314f86e638d4f8a2ea8c2.png"/><Relationship Id="rId20" Type="http://schemas.openxmlformats.org/officeDocument/2006/relationships/image" Target="media/0fd41558cbac912ed77ff0ed2b1ada074027340c.png"/><Relationship Id="rId21" Type="http://schemas.openxmlformats.org/officeDocument/2006/relationships/image" Target="media/c528010ec265982878fcb2312208691e32e1830f.png"/><Relationship Id="rId22" Type="http://schemas.openxmlformats.org/officeDocument/2006/relationships/image" Target="media/09a9dbcec12cf676b01a9bd1c7c34d669a8547b8.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2026-03-26T21:30:31.744Z</dcterms:created>
  <dcterms:modified xsi:type="dcterms:W3CDTF">2026-03-26T21:30:31.744Z</dcterms:modified>
</cp:coreProperties>
</file>

<file path=docProps/custom.xml><?xml version="1.0" encoding="utf-8"?>
<Properties xmlns="http://schemas.openxmlformats.org/officeDocument/2006/custom-properties" xmlns:vt="http://schemas.openxmlformats.org/officeDocument/2006/docPropsVTypes"/>
</file>