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80"/>
        </w:rPr>
        <w:t>Automação Jurídica Assistida</w:t>
      </w:r>
    </w:p>
    <w:p/>
    <w:p/>
    <w:p/>
    <w:p>
      <w:pPr>
        <w:jc w:val="center"/>
      </w:pPr>
      <w:r>
        <w:rPr>
          <w:color w:val="1E293B"/>
          <w:sz w:val="36"/>
        </w:rPr>
        <w:t>Especificação Técnica de Requisitos</w:t>
      </w:r>
    </w:p>
    <w:p/>
    <w:p/>
    <w:p/>
    <w:p/>
    <w:p>
      <w:pPr>
        <w:jc w:val="center"/>
      </w:pPr>
      <w:r>
        <w:rPr>
          <w:i/>
          <w:sz w:val="28"/>
        </w:rPr>
        <w:t>Versão 2.0 — formato ideal para ingestão no GCA</w:t>
      </w:r>
    </w:p>
    <w:p>
      <w:pPr>
        <w:jc w:val="center"/>
      </w:pPr>
      <w:r>
        <w:rPr>
          <w:b/>
          <w:sz w:val="24"/>
        </w:rPr>
        <w:t>Autor: Luiz Carlos Pielak</w:t>
      </w:r>
    </w:p>
    <w:p>
      <w:pPr>
        <w:jc w:val="center"/>
      </w:pPr>
      <w:r>
        <w:rPr>
          <w:color w:val="64748B"/>
          <w:sz w:val="22"/>
        </w:rPr>
        <w:t>Consolidado em 19 de April de 2026</w:t>
      </w:r>
    </w:p>
    <w:p>
      <w:r>
        <w:br w:type="page"/>
      </w:r>
    </w:p>
    <w:p>
      <w:pPr>
        <w:pStyle w:val="Heading1"/>
      </w:pPr>
      <w:r>
        <w:rPr>
          <w:color w:val="6D28D9"/>
          <w:sz w:val="36"/>
        </w:rPr>
        <w:t>1. Identificação do projeto</w:t>
      </w:r>
    </w:p>
    <w:p>
      <w:pPr>
        <w:spacing w:line="300" w:lineRule="auto" w:after="120"/>
        <w:jc w:val="both"/>
      </w:pPr>
      <w:r>
        <w:rPr>
          <w:b/>
          <w:i w:val="0"/>
          <w:sz w:val="22"/>
        </w:rPr>
        <w:t>Nome: Automação Jurídica Assistida.</w:t>
      </w:r>
    </w:p>
    <w:p>
      <w:pPr>
        <w:spacing w:line="300" w:lineRule="auto" w:after="120"/>
        <w:jc w:val="both"/>
      </w:pPr>
      <w:r>
        <w:rPr>
          <w:b/>
          <w:i w:val="0"/>
          <w:sz w:val="22"/>
        </w:rPr>
        <w:t>Slug: automacao-juridica-assistida.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Versão: 2.0 (consolidação do v1.0 + documento técnico DataJud + endpoints de tribunais + questionário preenchido).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Data: consolidado em 2026-04-19.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Elaboração: Luiz Carlos Pielak — Equipe Técnica de Especificação de Requisitos.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Classificação: Documento Confidencial.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Tipo (questionário Q4): Novo sistema + Automação interna.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Criticidade (questionário Q5): Alta.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Classificação da informação (questionário Q6): Restrita.</w:t>
      </w:r>
    </w:p>
    <w:p>
      <w:pPr>
        <w:pStyle w:val="Heading1"/>
      </w:pPr>
      <w:r>
        <w:rPr>
          <w:color w:val="6D28D9"/>
          <w:sz w:val="36"/>
        </w:rPr>
        <w:t>2. Objetivo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Entregar aplicativo desktop instalável para automação assistida do ciclo cível do escritório de advocacia, com arquitetura local-first e aderência total à LGPD. A Solução automatiza as tarefas repetitivas do contencioso cível (cadastro e dossiê do caso, ingestão documental, pesquisa jurisprudencial, geração de peças, motor de cálculos, análise de risco, auditoria) sem dependência de serviços em nuvem e sem expor dados sensíveis a terceiros.</w:t>
      </w:r>
    </w:p>
    <w:p>
      <w:pPr>
        <w:pStyle w:val="Heading2"/>
      </w:pPr>
      <w:r>
        <w:rPr>
          <w:color w:val="1E293B"/>
          <w:sz w:val="28"/>
        </w:rPr>
        <w:t>2.1 Objetivos específicos</w:t>
      </w:r>
    </w:p>
    <w:p>
      <w:pPr>
        <w:pStyle w:val="ListBullet"/>
        <w:spacing w:after="40"/>
        <w:ind w:left="340"/>
      </w:pPr>
      <w:r>
        <w:rPr>
          <w:sz w:val="22"/>
        </w:rPr>
        <w:t>Reduzir em 60% o tempo médio de elaboração de peças padronizadas (contestação, petição inicial, recurso) via geração assistida por IA local.</w:t>
      </w:r>
    </w:p>
    <w:p>
      <w:pPr>
        <w:pStyle w:val="ListBullet"/>
        <w:spacing w:after="40"/>
        <w:ind w:left="340"/>
      </w:pPr>
      <w:r>
        <w:rPr>
          <w:sz w:val="22"/>
        </w:rPr>
        <w:t>Centralizar em dossiê único todo o histórico documental do caso, com linha do tempo auditável.</w:t>
      </w:r>
    </w:p>
    <w:p>
      <w:pPr>
        <w:pStyle w:val="ListBullet"/>
        <w:spacing w:after="40"/>
        <w:ind w:left="340"/>
      </w:pPr>
      <w:r>
        <w:rPr>
          <w:sz w:val="22"/>
        </w:rPr>
        <w:t>Integrar consulta automática à API Pública do DataJud para enriquecimento de dados processuais.</w:t>
      </w:r>
    </w:p>
    <w:p>
      <w:pPr>
        <w:pStyle w:val="ListBullet"/>
        <w:spacing w:after="40"/>
        <w:ind w:left="340"/>
      </w:pPr>
      <w:r>
        <w:rPr>
          <w:sz w:val="22"/>
        </w:rPr>
        <w:t>Automatizar cálculos cíveis (juros, correção monetária, honorários, custas) com memória de cálculo exportável.</w:t>
      </w:r>
    </w:p>
    <w:p>
      <w:pPr>
        <w:pStyle w:val="ListBullet"/>
        <w:spacing w:after="40"/>
        <w:ind w:left="340"/>
      </w:pPr>
      <w:r>
        <w:rPr>
          <w:sz w:val="22"/>
        </w:rPr>
        <w:t>Prover painel gerencial com visão de portfólio, riscos e prazos críticos.</w:t>
      </w:r>
    </w:p>
    <w:p>
      <w:pPr>
        <w:pStyle w:val="ListBullet"/>
        <w:spacing w:after="40"/>
        <w:ind w:left="340"/>
      </w:pPr>
      <w:r>
        <w:rPr>
          <w:sz w:val="22"/>
        </w:rPr>
        <w:t>Operar 100% offline por padrão, com sincronização opcional em versões posteriores.</w:t>
      </w:r>
    </w:p>
    <w:p>
      <w:pPr>
        <w:pStyle w:val="Heading1"/>
      </w:pPr>
      <w:r>
        <w:rPr>
          <w:color w:val="6D28D9"/>
          <w:sz w:val="36"/>
        </w:rPr>
        <w:t>3. Escopo</w:t>
      </w:r>
    </w:p>
    <w:p>
      <w:pPr>
        <w:pStyle w:val="Heading2"/>
      </w:pPr>
      <w:r>
        <w:rPr>
          <w:color w:val="1E293B"/>
          <w:sz w:val="28"/>
        </w:rPr>
        <w:t>3.1 Em escopo</w:t>
      </w:r>
    </w:p>
    <w:p>
      <w:pPr>
        <w:pStyle w:val="ListBullet"/>
        <w:spacing w:after="40"/>
        <w:ind w:left="340"/>
      </w:pPr>
      <w:r>
        <w:rPr>
          <w:sz w:val="22"/>
        </w:rPr>
        <w:t>Aplicativo desktop instalável (Windows 10/11 e Ubuntu 22.04+).</w:t>
      </w:r>
    </w:p>
    <w:p>
      <w:pPr>
        <w:pStyle w:val="ListBullet"/>
        <w:spacing w:after="40"/>
        <w:ind w:left="340"/>
      </w:pPr>
      <w:r>
        <w:rPr>
          <w:sz w:val="22"/>
        </w:rPr>
        <w:t>Armazenamento local em SQLite ou PostgreSQL embarcado, criptografado em repouso.</w:t>
      </w:r>
    </w:p>
    <w:p>
      <w:pPr>
        <w:pStyle w:val="ListBullet"/>
        <w:spacing w:after="40"/>
        <w:ind w:left="340"/>
      </w:pPr>
      <w:r>
        <w:rPr>
          <w:sz w:val="22"/>
        </w:rPr>
        <w:t>Consulta à API Pública do DataJud para enriquecimento processual (leitura).</w:t>
      </w:r>
    </w:p>
    <w:p>
      <w:pPr>
        <w:pStyle w:val="ListBullet"/>
        <w:spacing w:after="40"/>
        <w:ind w:left="340"/>
      </w:pPr>
      <w:r>
        <w:rPr>
          <w:sz w:val="22"/>
        </w:rPr>
        <w:t>OCR embutido para PDFs digitalizados.</w:t>
      </w:r>
    </w:p>
    <w:p>
      <w:pPr>
        <w:pStyle w:val="ListBullet"/>
        <w:spacing w:after="40"/>
        <w:ind w:left="340"/>
      </w:pPr>
      <w:r>
        <w:rPr>
          <w:sz w:val="22"/>
        </w:rPr>
        <w:t>Modelos de peças parametrizáveis por tipo de ação cível.</w:t>
      </w:r>
    </w:p>
    <w:p>
      <w:pPr>
        <w:pStyle w:val="ListBullet"/>
        <w:spacing w:after="40"/>
        <w:ind w:left="340"/>
      </w:pPr>
      <w:r>
        <w:rPr>
          <w:sz w:val="22"/>
        </w:rPr>
        <w:t>Inteligência artificial local para sugestões — modelo baixado e executado na máquina do advogado.</w:t>
      </w:r>
    </w:p>
    <w:p>
      <w:pPr>
        <w:pStyle w:val="ListBullet"/>
        <w:spacing w:after="40"/>
        <w:ind w:left="340"/>
      </w:pPr>
      <w:r>
        <w:rPr>
          <w:sz w:val="22"/>
        </w:rPr>
        <w:t>Anexo regional: Execução Fiscal do Estado do Paraná.</w:t>
      </w:r>
    </w:p>
    <w:p>
      <w:pPr>
        <w:pStyle w:val="Heading2"/>
      </w:pPr>
      <w:r>
        <w:rPr>
          <w:color w:val="1E293B"/>
          <w:sz w:val="28"/>
        </w:rPr>
        <w:t>3.2 Fora de escopo</w:t>
      </w:r>
    </w:p>
    <w:p>
      <w:pPr>
        <w:pStyle w:val="ListBullet"/>
        <w:spacing w:after="40"/>
        <w:ind w:left="340"/>
      </w:pPr>
      <w:r>
        <w:rPr>
          <w:sz w:val="22"/>
        </w:rPr>
        <w:t>Peticionamento eletrônico automatizado em tribunais (envio de peças).</w:t>
      </w:r>
    </w:p>
    <w:p>
      <w:pPr>
        <w:pStyle w:val="ListBullet"/>
        <w:spacing w:after="40"/>
        <w:ind w:left="340"/>
      </w:pPr>
      <w:r>
        <w:rPr>
          <w:sz w:val="22"/>
        </w:rPr>
        <w:t>Assinatura digital ICP-Brasil (fica para Fase 3).</w:t>
      </w:r>
    </w:p>
    <w:p>
      <w:pPr>
        <w:pStyle w:val="ListBullet"/>
        <w:spacing w:after="40"/>
        <w:ind w:left="340"/>
      </w:pPr>
      <w:r>
        <w:rPr>
          <w:sz w:val="22"/>
        </w:rPr>
        <w:t>Sincronização multi-dispositivo (fica para Fase 3).</w:t>
      </w:r>
    </w:p>
    <w:p>
      <w:pPr>
        <w:pStyle w:val="ListBullet"/>
        <w:spacing w:after="40"/>
        <w:ind w:left="340"/>
      </w:pPr>
      <w:r>
        <w:rPr>
          <w:sz w:val="22"/>
        </w:rPr>
        <w:t>Integração contábil completa (fica para Fase 3).</w:t>
      </w:r>
    </w:p>
    <w:p>
      <w:pPr>
        <w:pStyle w:val="ListBullet"/>
        <w:spacing w:after="40"/>
        <w:ind w:left="340"/>
      </w:pPr>
      <w:r>
        <w:rPr>
          <w:sz w:val="22"/>
        </w:rPr>
        <w:t>Contencioso criminal, trabalhista e tributário (fora deste MVP; só cível).</w:t>
      </w:r>
    </w:p>
    <w:p>
      <w:pPr>
        <w:pStyle w:val="ListBullet"/>
        <w:spacing w:after="40"/>
        <w:ind w:left="340"/>
      </w:pPr>
      <w:r>
        <w:rPr>
          <w:sz w:val="22"/>
        </w:rPr>
        <w:t>Marketplace de modelos (fica para Fase 4).</w:t>
      </w:r>
    </w:p>
    <w:p>
      <w:pPr>
        <w:pStyle w:val="Heading2"/>
      </w:pPr>
      <w:r>
        <w:rPr>
          <w:color w:val="1E293B"/>
          <w:sz w:val="28"/>
        </w:rPr>
        <w:t>3.3 Premissa crítica de parametrização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A Solução é instalada no computador do advogado com configuração mínima. Não há servidor central; não há dependência de conexão permanente com a Internet. Conexão só é usada quando o usuário solicita consulta ao DataJud, ou quando baixa atualização de modelo de IA. Todas as peças geradas e dossiês ficam no disco local até decisão explícita do usuário de exportar ou compartilhar.</w:t>
      </w:r>
    </w:p>
    <w:p>
      <w:pPr>
        <w:pStyle w:val="Heading2"/>
      </w:pPr>
      <w:r>
        <w:rPr>
          <w:color w:val="1E293B"/>
          <w:sz w:val="28"/>
        </w:rPr>
        <w:t>3.4 Princípios arquiteturais norteadores</w:t>
      </w:r>
    </w:p>
    <w:p>
      <w:pPr>
        <w:pStyle w:val="ListBullet"/>
        <w:spacing w:after="40"/>
        <w:ind w:left="340"/>
      </w:pPr>
      <w:r>
        <w:rPr>
          <w:sz w:val="22"/>
        </w:rPr>
        <w:t>Local-first: dados sensíveis ficam apenas no host do cliente.</w:t>
      </w:r>
    </w:p>
    <w:p>
      <w:pPr>
        <w:pStyle w:val="ListBullet"/>
        <w:spacing w:after="40"/>
        <w:ind w:left="340"/>
      </w:pPr>
      <w:r>
        <w:rPr>
          <w:sz w:val="22"/>
        </w:rPr>
        <w:t>Privacidade por design: minimização, consentimento, retenção configurável.</w:t>
      </w:r>
    </w:p>
    <w:p>
      <w:pPr>
        <w:pStyle w:val="ListBullet"/>
        <w:spacing w:after="40"/>
        <w:ind w:left="340"/>
      </w:pPr>
      <w:r>
        <w:rPr>
          <w:sz w:val="22"/>
        </w:rPr>
        <w:t>Auditabilidade: toda operação sensível gera registro imutável.</w:t>
      </w:r>
    </w:p>
    <w:p>
      <w:pPr>
        <w:pStyle w:val="ListBullet"/>
        <w:spacing w:after="40"/>
        <w:ind w:left="340"/>
      </w:pPr>
      <w:r>
        <w:rPr>
          <w:sz w:val="22"/>
        </w:rPr>
        <w:t>Modularidade: cada capacidade encapsulada em módulo independente.</w:t>
      </w:r>
    </w:p>
    <w:p>
      <w:pPr>
        <w:pStyle w:val="ListBullet"/>
        <w:spacing w:after="40"/>
        <w:ind w:left="340"/>
      </w:pPr>
      <w:r>
        <w:rPr>
          <w:sz w:val="22"/>
        </w:rPr>
        <w:t>Extensibilidade via conectores: fontes externas plugáveis via configuração.</w:t>
      </w:r>
    </w:p>
    <w:p>
      <w:pPr>
        <w:pStyle w:val="Heading1"/>
      </w:pPr>
      <w:r>
        <w:rPr>
          <w:color w:val="6D28D9"/>
          <w:sz w:val="36"/>
        </w:rPr>
        <w:t>4. Glossário do projeto</w:t>
      </w:r>
    </w:p>
    <w:p>
      <w:pPr>
        <w:spacing w:line="300" w:lineRule="auto" w:after="120"/>
        <w:jc w:val="both"/>
      </w:pPr>
      <w:r>
        <w:rPr>
          <w:b w:val="0"/>
          <w:i/>
          <w:sz w:val="20"/>
        </w:rPr>
        <w:t>Termos específicos do domínio jurídico e da Solução em ordem alfabética.</w:t>
      </w:r>
    </w:p>
    <w:p>
      <w:pPr>
        <w:spacing w:after="60"/>
      </w:pPr>
      <w:r>
        <w:rPr>
          <w:b/>
          <w:color w:val="6D28D9"/>
          <w:sz w:val="22"/>
        </w:rPr>
        <w:t xml:space="preserve">CNJ. </w:t>
      </w:r>
      <w:r>
        <w:rPr>
          <w:sz w:val="22"/>
        </w:rPr>
        <w:t>Conselho Nacional de Justiça. Órgão que mantém a API Pública do DataJud.</w:t>
      </w:r>
    </w:p>
    <w:p>
      <w:pPr>
        <w:spacing w:after="60"/>
      </w:pPr>
      <w:r>
        <w:rPr>
          <w:b/>
          <w:color w:val="6D28D9"/>
          <w:sz w:val="22"/>
        </w:rPr>
        <w:t xml:space="preserve">CNPJ. </w:t>
      </w:r>
      <w:r>
        <w:rPr>
          <w:sz w:val="22"/>
        </w:rPr>
        <w:t>Cadastro Nacional da Pessoa Jurídica.</w:t>
      </w:r>
    </w:p>
    <w:p>
      <w:pPr>
        <w:spacing w:after="60"/>
      </w:pPr>
      <w:r>
        <w:rPr>
          <w:b/>
          <w:color w:val="6D28D9"/>
          <w:sz w:val="22"/>
        </w:rPr>
        <w:t xml:space="preserve">Contencioso cível. </w:t>
      </w:r>
      <w:r>
        <w:rPr>
          <w:sz w:val="22"/>
        </w:rPr>
        <w:t>Conjunto de ações judiciais de natureza civil (danos, contratos, família, sucessões, imobiliário).</w:t>
      </w:r>
    </w:p>
    <w:p>
      <w:pPr>
        <w:spacing w:after="60"/>
      </w:pPr>
      <w:r>
        <w:rPr>
          <w:b/>
          <w:color w:val="6D28D9"/>
          <w:sz w:val="22"/>
        </w:rPr>
        <w:t xml:space="preserve">DataJud. </w:t>
      </w:r>
      <w:r>
        <w:rPr>
          <w:sz w:val="22"/>
        </w:rPr>
        <w:t>Base Nacional de Dados do Poder Judiciário; API pública operada pelo CNJ.</w:t>
      </w:r>
    </w:p>
    <w:p>
      <w:pPr>
        <w:spacing w:after="60"/>
      </w:pPr>
      <w:r>
        <w:rPr>
          <w:b/>
          <w:color w:val="6D28D9"/>
          <w:sz w:val="22"/>
        </w:rPr>
        <w:t xml:space="preserve">Decadência. </w:t>
      </w:r>
      <w:r>
        <w:rPr>
          <w:sz w:val="22"/>
        </w:rPr>
        <w:t>Perda do direito material pelo decurso de prazo legal.</w:t>
      </w:r>
    </w:p>
    <w:p>
      <w:pPr>
        <w:spacing w:after="60"/>
      </w:pPr>
      <w:r>
        <w:rPr>
          <w:b/>
          <w:color w:val="6D28D9"/>
          <w:sz w:val="22"/>
        </w:rPr>
        <w:t xml:space="preserve">Dossiê. </w:t>
      </w:r>
      <w:r>
        <w:rPr>
          <w:sz w:val="22"/>
        </w:rPr>
        <w:t>Pasta digital centralizada com todos os documentos de um caso.</w:t>
      </w:r>
    </w:p>
    <w:p>
      <w:pPr>
        <w:spacing w:after="60"/>
      </w:pPr>
      <w:r>
        <w:rPr>
          <w:b/>
          <w:color w:val="6D28D9"/>
          <w:sz w:val="22"/>
        </w:rPr>
        <w:t xml:space="preserve">Execução Fiscal. </w:t>
      </w:r>
      <w:r>
        <w:rPr>
          <w:sz w:val="22"/>
        </w:rPr>
        <w:t>Ação para cobrança de dívida ativa da Fazenda Pública, regida pela Lei 6.830/1980 e por legislação estadual complementar.</w:t>
      </w:r>
    </w:p>
    <w:p>
      <w:pPr>
        <w:spacing w:after="60"/>
      </w:pPr>
      <w:r>
        <w:rPr>
          <w:b/>
          <w:color w:val="6D28D9"/>
          <w:sz w:val="22"/>
        </w:rPr>
        <w:t xml:space="preserve">ICP-Brasil. </w:t>
      </w:r>
      <w:r>
        <w:rPr>
          <w:sz w:val="22"/>
        </w:rPr>
        <w:t>Infraestrutura de Chaves Públicas Brasileira — sistema oficial de certificação digital.</w:t>
      </w:r>
    </w:p>
    <w:p>
      <w:pPr>
        <w:spacing w:after="60"/>
      </w:pPr>
      <w:r>
        <w:rPr>
          <w:b/>
          <w:color w:val="6D28D9"/>
          <w:sz w:val="22"/>
        </w:rPr>
        <w:t xml:space="preserve">LGPD. </w:t>
      </w:r>
      <w:r>
        <w:rPr>
          <w:sz w:val="22"/>
        </w:rPr>
        <w:t>Lei Geral de Proteção de Dados Pessoais (Lei 13.709/2018).</w:t>
      </w:r>
    </w:p>
    <w:p>
      <w:pPr>
        <w:spacing w:after="60"/>
      </w:pPr>
      <w:r>
        <w:rPr>
          <w:b/>
          <w:color w:val="6D28D9"/>
          <w:sz w:val="22"/>
        </w:rPr>
        <w:t xml:space="preserve">Local-first. </w:t>
      </w:r>
      <w:r>
        <w:rPr>
          <w:sz w:val="22"/>
        </w:rPr>
        <w:t>Arquitetura onde dados primários ficam no dispositivo do usuário, sem servidor obrigatório.</w:t>
      </w:r>
    </w:p>
    <w:p>
      <w:pPr>
        <w:spacing w:after="60"/>
      </w:pPr>
      <w:r>
        <w:rPr>
          <w:b/>
          <w:color w:val="6D28D9"/>
          <w:sz w:val="22"/>
        </w:rPr>
        <w:t xml:space="preserve">MoSCoW. </w:t>
      </w:r>
      <w:r>
        <w:rPr>
          <w:sz w:val="22"/>
        </w:rPr>
        <w:t>Método de priorização: Must / Should / Could / Won't.</w:t>
      </w:r>
    </w:p>
    <w:p>
      <w:pPr>
        <w:spacing w:after="60"/>
      </w:pPr>
      <w:r>
        <w:rPr>
          <w:b/>
          <w:color w:val="6D28D9"/>
          <w:sz w:val="22"/>
        </w:rPr>
        <w:t xml:space="preserve">Motor de cálculos. </w:t>
      </w:r>
      <w:r>
        <w:rPr>
          <w:sz w:val="22"/>
        </w:rPr>
        <w:t>Módulo que aplica índices oficiais (Selic, IPCA, TR) e regras de juros/correção/honorários.</w:t>
      </w:r>
    </w:p>
    <w:p>
      <w:pPr>
        <w:spacing w:after="60"/>
      </w:pPr>
      <w:r>
        <w:rPr>
          <w:b/>
          <w:color w:val="6D28D9"/>
          <w:sz w:val="22"/>
        </w:rPr>
        <w:t xml:space="preserve">Número CNJ. </w:t>
      </w:r>
      <w:r>
        <w:rPr>
          <w:sz w:val="22"/>
        </w:rPr>
        <w:t>Identificador padronizado do processo no formato NNNNNNN-DD.AAAA.J.TR.OOOO.</w:t>
      </w:r>
    </w:p>
    <w:p>
      <w:pPr>
        <w:spacing w:after="60"/>
      </w:pPr>
      <w:r>
        <w:rPr>
          <w:b/>
          <w:color w:val="6D28D9"/>
          <w:sz w:val="22"/>
        </w:rPr>
        <w:t xml:space="preserve">OCR. </w:t>
      </w:r>
      <w:r>
        <w:rPr>
          <w:sz w:val="22"/>
        </w:rPr>
        <w:t>Optical Character Recognition — reconhecimento óptico de caracteres em imagens/PDFs digitalizados.</w:t>
      </w:r>
    </w:p>
    <w:p>
      <w:pPr>
        <w:spacing w:after="60"/>
      </w:pPr>
      <w:r>
        <w:rPr>
          <w:b/>
          <w:color w:val="6D28D9"/>
          <w:sz w:val="22"/>
        </w:rPr>
        <w:t xml:space="preserve">Peça. </w:t>
      </w:r>
      <w:r>
        <w:rPr>
          <w:sz w:val="22"/>
        </w:rPr>
        <w:t>Documento processual redigido pelo advogado (petição, contestação, recurso, etc.).</w:t>
      </w:r>
    </w:p>
    <w:p>
      <w:pPr>
        <w:spacing w:after="60"/>
      </w:pPr>
      <w:r>
        <w:rPr>
          <w:b/>
          <w:color w:val="6D28D9"/>
          <w:sz w:val="22"/>
        </w:rPr>
        <w:t xml:space="preserve">Prescrição. </w:t>
      </w:r>
      <w:r>
        <w:rPr>
          <w:sz w:val="22"/>
        </w:rPr>
        <w:t>Perda da pretensão de exercer um direito pelo decurso do prazo legal.</w:t>
      </w:r>
    </w:p>
    <w:p>
      <w:pPr>
        <w:spacing w:after="60"/>
      </w:pPr>
      <w:r>
        <w:rPr>
          <w:b/>
          <w:color w:val="6D28D9"/>
          <w:sz w:val="22"/>
        </w:rPr>
        <w:t xml:space="preserve">Query DSL. </w:t>
      </w:r>
      <w:r>
        <w:rPr>
          <w:sz w:val="22"/>
        </w:rPr>
        <w:t>Domain Specific Language do Elasticsearch para consultas estruturadas ao DataJud.</w:t>
      </w:r>
    </w:p>
    <w:p>
      <w:pPr>
        <w:spacing w:after="60"/>
      </w:pPr>
      <w:r>
        <w:rPr>
          <w:b/>
          <w:color w:val="6D28D9"/>
          <w:sz w:val="22"/>
        </w:rPr>
        <w:t xml:space="preserve">RF. </w:t>
      </w:r>
      <w:r>
        <w:rPr>
          <w:sz w:val="22"/>
        </w:rPr>
        <w:t>Requisito Funcional. Comportamento observável da Solução.</w:t>
      </w:r>
    </w:p>
    <w:p>
      <w:pPr>
        <w:spacing w:after="60"/>
      </w:pPr>
      <w:r>
        <w:rPr>
          <w:b/>
          <w:color w:val="6D28D9"/>
          <w:sz w:val="22"/>
        </w:rPr>
        <w:t xml:space="preserve">RNF. </w:t>
      </w:r>
      <w:r>
        <w:rPr>
          <w:sz w:val="22"/>
        </w:rPr>
        <w:t>Requisito Não-Funcional. Atributo de qualidade (performance, segurança, disponibilidade).</w:t>
      </w:r>
    </w:p>
    <w:p>
      <w:pPr>
        <w:spacing w:after="60"/>
      </w:pPr>
      <w:r>
        <w:rPr>
          <w:b/>
          <w:color w:val="6D28D9"/>
          <w:sz w:val="22"/>
        </w:rPr>
        <w:t xml:space="preserve">TJPR. </w:t>
      </w:r>
      <w:r>
        <w:rPr>
          <w:sz w:val="22"/>
        </w:rPr>
        <w:t>Tribunal de Justiça do Estado do Paraná.</w:t>
      </w:r>
    </w:p>
    <w:p>
      <w:r>
        <w:br w:type="page"/>
      </w:r>
    </w:p>
    <w:p>
      <w:pPr>
        <w:pStyle w:val="Heading1"/>
      </w:pPr>
      <w:r>
        <w:rPr>
          <w:color w:val="6D28D9"/>
          <w:sz w:val="36"/>
        </w:rPr>
        <w:t>5. Requisitos funcionais</w:t>
      </w:r>
    </w:p>
    <w:p>
      <w:pPr>
        <w:spacing w:line="300" w:lineRule="auto" w:after="120"/>
        <w:jc w:val="both"/>
      </w:pPr>
      <w:r>
        <w:rPr>
          <w:b w:val="0"/>
          <w:i/>
          <w:sz w:val="20"/>
        </w:rPr>
        <w:t>Cada RF em parágrafo próprio com prefixos [MANDATÓRIO]/[RECOMENDADO] + pilar impactado. Numeração sequencial e contínua através dos módulos.</w:t>
      </w:r>
    </w:p>
    <w:p>
      <w:pPr>
        <w:pStyle w:val="Heading2"/>
      </w:pPr>
      <w:r>
        <w:rPr>
          <w:color w:val="1E293B"/>
          <w:sz w:val="28"/>
        </w:rPr>
        <w:t>5.1 Módulo de cadastro e dossiê do caso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RF-01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Permitir criação manual de caso com número CNJ opcional, cliente, partes, polo (autor/réu), assunto, classe processual, tribunal e observações estratégicas.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RF-02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Permitir anexar documentos, mensagens eletrônicas exportadas (EML/MSG), imagens, decisões, despachos, contratos e provas ao dossiê do caso.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RF-03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Classificar cada item anexado por tipo documental (petição, decisão, despacho, contrato, documento pessoal, prova), origem, data, emissor e relevância.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RF-04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Manter linha do tempo do caso com eventos processuais e documentos correlacionados, ordenados cronologicamente com filtros por tipo.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RF-05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Permitir marcação de sigilo local, destaque de prioridade e etiquetas customizáveis por caso.</w:t>
      </w:r>
    </w:p>
    <w:p>
      <w:pPr>
        <w:pStyle w:val="Heading2"/>
      </w:pPr>
      <w:r>
        <w:rPr>
          <w:color w:val="1E293B"/>
          <w:sz w:val="28"/>
        </w:rPr>
        <w:t>5.2 Módulo de ingestão e normalização documental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RF-06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[P3-Stack] </w:t>
      </w:r>
      <w:r>
        <w:rPr>
          <w:sz w:val="22"/>
        </w:rPr>
        <w:t>Extrair texto e metadados de arquivos PDF pesquisáveis e suportar OCR opcional em documentos digitalizados, com indicação de qualidade do OCR.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RF-07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Detectar a entidade emissora do documento ou evento, distinguindo juízo, parte autora, parte ré, Ministério Público, perito, cliente e origem interna.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RF-08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Identificar automaticamente elementos relevantes como número CNJ, partes, classe, tribunal, prazos, pedidos, fundamentos legais e anexos citados.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RF-09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Permitir confirmação e correção manual dos metadados extraídos automaticamente antes da indexação final.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RF-10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[P6-Risk] </w:t>
      </w:r>
      <w:r>
        <w:rPr>
          <w:sz w:val="22"/>
        </w:rPr>
        <w:t>Registrar falhas de extração em log auditável e permitir reprocessamento manual do item.</w:t>
      </w:r>
    </w:p>
    <w:p>
      <w:pPr>
        <w:pStyle w:val="Heading2"/>
      </w:pPr>
      <w:r>
        <w:rPr>
          <w:color w:val="1E293B"/>
          <w:sz w:val="28"/>
        </w:rPr>
        <w:t>5.3 Módulo pré-processual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RF-11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Permitir triagem do cliente com cadastro de dados essenciais, histórico jurídico prévio, conflitos conhecidos e data do primeiro contato.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RF-12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Executar verificação automática de conflito de interesses contra base local de clientes e partes, com alertas e bloqueio quando aplicável.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RF-13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Permitir elaboração de notificação extrajudicial com modelos parametrizáveis, contendo apresentação do caso, proposta de resolução e prazos de resposta.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RF-14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Permitir elaboração de minuta de acordo ou transação com cláusulas padrão e específicas, incluindo sigilo, desistência e custas.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RF-15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[P6-Risk] </w:t>
      </w:r>
      <w:r>
        <w:rPr>
          <w:sz w:val="22"/>
        </w:rPr>
        <w:t>Manter checklist de prescrição e decadência com cálculo automático de prazos legais e alertas de aproximação (30, 60 e 90 dias).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RF-16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Registrar consulta inicial com parecer jurídico preliminar e análise de viabilidade.</w:t>
      </w:r>
    </w:p>
    <w:p>
      <w:pPr>
        <w:pStyle w:val="Heading2"/>
      </w:pPr>
      <w:r>
        <w:rPr>
          <w:color w:val="1E293B"/>
          <w:sz w:val="28"/>
        </w:rPr>
        <w:t>5.4 Pesquisa assistida de legislação e jurisprudência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RF-17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Permitir pesquisa por tema, artigo de lei, tese, tribunal, classe processual, palavra-chave e contexto do caso.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RF-18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[P3-Stack] </w:t>
      </w:r>
      <w:r>
        <w:rPr>
          <w:sz w:val="22"/>
        </w:rPr>
        <w:t>Priorizar fontes oficiais e bases configuradas pelo usuário, com hierarquia de confiança parametrizável.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RF-19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Exibir junto ao resultado a fonte consultada, data da consulta, resumo, trechos relevantes e referência quando disponível.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RF-20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Associar resultados relevantes ao dossiê do caso com tag de uso pretendido (fundamento, contra-argumento, precedente).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RF-21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Permitir filtros de jurisprudência por tribunal superior, precedentes qualificados, recência e aderência ao caso.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RF-22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Suportar integração automática à API Pública do DataJud para enriquecimento de decisões mencionadas no caso.</w:t>
      </w:r>
    </w:p>
    <w:p>
      <w:pPr>
        <w:pStyle w:val="Heading2"/>
      </w:pPr>
      <w:r>
        <w:rPr>
          <w:color w:val="1E293B"/>
          <w:sz w:val="28"/>
        </w:rPr>
        <w:t>5.5 Geração assistida de peças e documentos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RF-23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Oferecer modelos de peças por tipo de ação cível (contestação, réplica, recurso, memoriais, embargos).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RF-24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Permitir edição colaborativa local com histórico de versões e comparação lado a lado.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RF-25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[P3-Stack] </w:t>
      </w:r>
      <w:r>
        <w:rPr>
          <w:sz w:val="22"/>
        </w:rPr>
        <w:t>Gerar rascunho inicial de peça a partir de contexto do caso usando modelo de IA local, sem envio de dados a serviços externos.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RF-26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[P4-Testing] </w:t>
      </w:r>
      <w:r>
        <w:rPr>
          <w:sz w:val="22"/>
        </w:rPr>
        <w:t>Permitir validação automática de referências legais citadas (existência do artigo, vigência, revogação).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RF-27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Permitir exportação em ODT, DOCX e PDF com metadados do caso embutidos.</w:t>
      </w:r>
    </w:p>
    <w:p>
      <w:pPr>
        <w:pStyle w:val="Heading2"/>
      </w:pPr>
      <w:r>
        <w:rPr>
          <w:color w:val="1E293B"/>
          <w:sz w:val="28"/>
        </w:rPr>
        <w:t>5.6 Fluxo de trabalho, tarefas e revisão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RF-28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Permitir criação de tarefas vinculadas ao caso com responsável, prazo, prioridade e estado.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RF-29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Manter fluxo de revisão peer-review antes de exportar peça final.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RF-30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[P4-Testing] </w:t>
      </w:r>
      <w:r>
        <w:rPr>
          <w:sz w:val="22"/>
        </w:rPr>
        <w:t>Gerar checklist de revisão específico por tipo de peça (fatos, fundamentos, pedidos, valor da causa).</w:t>
      </w:r>
    </w:p>
    <w:p>
      <w:pPr>
        <w:pStyle w:val="Heading2"/>
      </w:pPr>
      <w:r>
        <w:rPr>
          <w:color w:val="1E293B"/>
          <w:sz w:val="28"/>
        </w:rPr>
        <w:t>5.7 Motor de cálculos cíveis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RF-31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Aplicar juros simples/compostos com taxa legal ou convencional configurada.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RF-32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Aplicar correção monetária por IPCA, INPC, IGP-M, TR ou índice customizável, com tabela oficial atualizada localmente.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RF-33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Calcular honorários advocatícios por percentual sobre o valor da condenação ou por tabela OAB local.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RF-34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Calcular custas processuais por tabela do tribunal aplicável.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RF-35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Gerar memória de cálculo detalhada, exportável em PDF, com fórmulas explícitas e referências normativas.</w:t>
      </w:r>
    </w:p>
    <w:p>
      <w:pPr>
        <w:pStyle w:val="Heading2"/>
      </w:pPr>
      <w:r>
        <w:rPr>
          <w:color w:val="1E293B"/>
          <w:sz w:val="28"/>
        </w:rPr>
        <w:t>5.8 Análise de risco e estratégia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RF-36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[P6-Risk] </w:t>
      </w:r>
      <w:r>
        <w:rPr>
          <w:sz w:val="22"/>
        </w:rPr>
        <w:t>Calcular probabilidade de êxito por tipo de pedido usando modelo local treinado com jurisprudência histórica.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RF-37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[P6-Risk] </w:t>
      </w:r>
      <w:r>
        <w:rPr>
          <w:sz w:val="22"/>
        </w:rPr>
        <w:t>Sugerir estratégias processuais alternativas com base em precedentes consolidados.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RF-38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Simular cenários de desfecho (procedência total, parcial, improcedência) com valores financeiros estimados.</w:t>
      </w:r>
    </w:p>
    <w:p>
      <w:pPr>
        <w:pStyle w:val="Heading2"/>
      </w:pPr>
      <w:r>
        <w:rPr>
          <w:color w:val="1E293B"/>
          <w:sz w:val="28"/>
        </w:rPr>
        <w:t>5.9 Fluxos específicos do contencioso cível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RF-39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Cobrir fluxo de execução: cálculo de dívida, indicação de bens, impugnação, embargos à execução, penhora.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RF-40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Cobrir fluxo de conhecimento: inicial, contestação, réplica, audiência, instrução, sentença, recurso.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RF-41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Cobrir fluxo de tutela provisória: urgência, evidência, contracautelas, efeito suspensivo.</w:t>
      </w:r>
    </w:p>
    <w:p>
      <w:pPr>
        <w:pStyle w:val="Heading2"/>
      </w:pPr>
      <w:r>
        <w:rPr>
          <w:color w:val="1E293B"/>
          <w:sz w:val="28"/>
        </w:rPr>
        <w:t>5.10 Gestão de portfólio e painel gerencial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RF-42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Exibir painel de carteira com contagem de casos por status, tribunal, cliente e prazo crítico.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RF-43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Exibir alertas de prazo processual com D-7, D-3 e D-0 configuráveis.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RF-44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Gerar relatório mensal de atividade do escritório com horas por caso, peças geradas, pareceres emitidos.</w:t>
      </w:r>
    </w:p>
    <w:p>
      <w:pPr>
        <w:pStyle w:val="Heading2"/>
      </w:pPr>
      <w:r>
        <w:rPr>
          <w:color w:val="1E293B"/>
          <w:sz w:val="28"/>
        </w:rPr>
        <w:t>5.11 Integração com cliente e gestão financeira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RF-45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[P1-Business] </w:t>
      </w:r>
      <w:r>
        <w:rPr>
          <w:sz w:val="22"/>
        </w:rPr>
        <w:t>Registrar contrato de honorários por caso com modalidade (êxito, fixo, hora, misto) e cronograma de pagamento.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RF-46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Emitir recibo e controle de inadimplência com alerta ao responsável.</w:t>
      </w:r>
    </w:p>
    <w:p>
      <w:pPr>
        <w:pStyle w:val="Heading2"/>
      </w:pPr>
      <w:r>
        <w:rPr>
          <w:color w:val="1E293B"/>
          <w:sz w:val="28"/>
        </w:rPr>
        <w:t>5.12 Configurações, credenciais e conectores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RF-47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Gerenciar credenciais de conectores (API keys do DataJud, credenciais de bases privadas opcionais) com criptografia em repouso via Fernet ou equivalente.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RF-48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Configurar fontes jurisprudenciais ativas, com prioridade e fallback, via UI.</w:t>
      </w:r>
    </w:p>
    <w:p>
      <w:pPr>
        <w:pStyle w:val="Heading2"/>
      </w:pPr>
      <w:r>
        <w:rPr>
          <w:color w:val="1E293B"/>
          <w:sz w:val="28"/>
        </w:rPr>
        <w:t>5.13 Auditoria e rastreabilidade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RF-49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Registrar em trilha imutável toda operação sensível: acesso a documento sigiloso, alteração de peça, exportação, consulta a DataJud, operação financeira.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RF-50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Garantir integridade da trilha via hash chain (SHA-256) entre registros consecutivos.</w:t>
      </w:r>
    </w:p>
    <w:p>
      <w:pPr>
        <w:pStyle w:val="Heading2"/>
      </w:pPr>
      <w:r>
        <w:rPr>
          <w:color w:val="1E293B"/>
          <w:sz w:val="28"/>
        </w:rPr>
        <w:t>5.14 Integração com DataJud (consolidado do documento técnico)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RF-51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Implementar conector HTTP POST para a API Pública do DataJud do CNJ, com URL base https://api-publica.datajud.cnj.jus.br/ e sufixo /api_publica_{alias}/_search.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RF-52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Usar autenticação via cabeçalho Authorization: APIKey {chave}, com chave pública publicada pelo CNJ na wiki do DataJud.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RF-53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Suportar consultas em Query DSL compatível com Elasticsearch (match, bool, term, range, aggregations) conforme glossário de dados do DataJud.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RF-54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Implementar paginação com size + sort + search_after para grandes volumes, respeitando limite máximo de 10.000 resultados por janela.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RF-55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[P6-Risk] </w:t>
      </w:r>
      <w:r>
        <w:rPr>
          <w:sz w:val="22"/>
        </w:rPr>
        <w:t>Implementar circuit breaker e back-off exponencial para falhas da API pública (Beta — instabilidade documentada).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RF-56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Aderir ao Termo de Uso oficial da API Pública do DataJud: uso institucional, não comercial, sem scraping agressivo.</w:t>
      </w:r>
    </w:p>
    <w:p>
      <w:pPr>
        <w:pStyle w:val="Heading2"/>
      </w:pPr>
      <w:r>
        <w:rPr>
          <w:color w:val="1E293B"/>
          <w:sz w:val="28"/>
        </w:rPr>
        <w:t>5.15 Aliases de tribunais suportados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A API Pública do DataJud expõe consultas por alias do tribunal. A Solução suporta todos os aliases abaixo (fonte: documento de endpoints consolidado).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Tribunais superiores: api_publica_tst, api_publica_tse, api_publica_stj, api_publica_stm.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Justiça Federal: api_publica_trf1..api_publica_trf6.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Justiça Estadual: api_publica_tjac, tjal, tjam, tjap, tjba, tjce, tjdft, tjes, tjgo, tjma, tjmg, tjms, tjmt, tjpa, tjpb, tjpe, tjpi, tjpr, tjrj, tjrn, tjro, tjrr, tjrs, tjsc, tjse, tjsp, tjto (27 tribunais).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Justiça do Trabalho: api_publica_trt1..api_publica_trt24.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RF-57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Expor seletor de tribunal no frontend alimentado por tabela local de aliases (sem hardcode no código — tabela versionada).</w:t>
      </w:r>
    </w:p>
    <w:p>
      <w:pPr>
        <w:pStyle w:val="Heading2"/>
      </w:pPr>
      <w:r>
        <w:rPr>
          <w:color w:val="1E293B"/>
          <w:sz w:val="28"/>
        </w:rPr>
        <w:t>5.16 Anexo regional — Execução Fiscal do Estado do Paraná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RF-58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Aplicar Lei Estadual do Paraná 15.552/2007 (dívida ativa estadual) como módulo plugável ativado por configuração regional.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RF-59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Implementar conector de consulta ao TJPR (alias api_publica_tjpr) para enriquecimento de processos de execução fiscal estadual.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RF-60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[P6-Risk] </w:t>
      </w:r>
      <w:r>
        <w:rPr>
          <w:sz w:val="22"/>
        </w:rPr>
        <w:t>Auditar separadamente as operações do módulo de execução fiscal por exigência de compliance fiscal estadual (transparência pública).</w:t>
      </w:r>
    </w:p>
    <w:p>
      <w:r>
        <w:br w:type="page"/>
      </w:r>
    </w:p>
    <w:p>
      <w:pPr>
        <w:pStyle w:val="Heading1"/>
      </w:pPr>
      <w:r>
        <w:rPr>
          <w:color w:val="6D28D9"/>
          <w:sz w:val="36"/>
        </w:rPr>
        <w:t>6. Requisitos não-funcionais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RNF-01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[P2-Architecture] </w:t>
      </w:r>
      <w:r>
        <w:rPr>
          <w:sz w:val="22"/>
        </w:rPr>
        <w:t>Tempo de resposta para abertura de dossiê ≤ 1 segundo até 5.000 documentos; até 3 segundos até 50.000 documentos.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RNF-02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[P3-Stack] </w:t>
      </w:r>
      <w:r>
        <w:rPr>
          <w:sz w:val="22"/>
        </w:rPr>
        <w:t>Aplicativo disponível para Windows 10/11 e Ubuntu 22.04+, como binário instalável.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RNF-03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Criptografia em repouso AES-256 do banco local e dos anexos do dossiê.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RNF-04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Aderência à LGPD: consentimento explícito na primeira abertura, política de minimização, portabilidade via exportação completa, retenção configurável por caso.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RNF-05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[P6-Risk] </w:t>
      </w:r>
      <w:r>
        <w:rPr>
          <w:sz w:val="22"/>
        </w:rPr>
        <w:t>Disponibilidade operacional alvo: 99,5% — o advogado não pode perder o caso por indisponibilidade da ferramenta local.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RNF-06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[P4-Testing] </w:t>
      </w:r>
      <w:r>
        <w:rPr>
          <w:sz w:val="22"/>
        </w:rPr>
        <w:t>Cobertura de testes unitários ≥ 80% nos módulos de cadastro, cálculo e auditoria; testes de integração para todos os conectores.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RNF-07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[P5-Compliance] </w:t>
      </w:r>
      <w:r>
        <w:rPr>
          <w:sz w:val="22"/>
        </w:rPr>
        <w:t>Trilhas de auditoria imutáveis, com hash chain entre registros consecutivos e ferramenta de verificação offline.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RNF-08 </w:t>
      </w:r>
      <w:r>
        <w:rPr>
          <w:b/>
          <w:color w:val="059669"/>
          <w:sz w:val="20"/>
        </w:rPr>
        <w:t xml:space="preserve">[RECOMENDADO] </w:t>
      </w:r>
      <w:r>
        <w:rPr>
          <w:i/>
          <w:color w:val="64748B"/>
          <w:sz w:val="20"/>
        </w:rPr>
        <w:t xml:space="preserve">[P3-Stack] </w:t>
      </w:r>
      <w:r>
        <w:rPr>
          <w:sz w:val="22"/>
        </w:rPr>
        <w:t>Instalação não-privilegiada quando possível (instalar em ~/Applications/ no Linux, %LOCALAPPDATA% no Windows).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RNF-09 </w:t>
      </w:r>
      <w:r>
        <w:rPr>
          <w:b/>
          <w:color w:val="C2410C"/>
          <w:sz w:val="20"/>
        </w:rPr>
        <w:t xml:space="preserve">[MANDATÓRIO] </w:t>
      </w:r>
      <w:r>
        <w:rPr>
          <w:i/>
          <w:color w:val="64748B"/>
          <w:sz w:val="20"/>
        </w:rPr>
        <w:t xml:space="preserve">[P6-Risk] </w:t>
      </w:r>
      <w:r>
        <w:rPr>
          <w:sz w:val="22"/>
        </w:rPr>
        <w:t>Tolerância a falhas: ao perder conexão no meio de uma consulta DataJud, permitir retomada sem duplicação de operações.</w:t>
      </w:r>
    </w:p>
    <w:p>
      <w:pPr>
        <w:pStyle w:val="Heading1"/>
      </w:pPr>
      <w:r>
        <w:rPr>
          <w:color w:val="6D28D9"/>
          <w:sz w:val="36"/>
        </w:rPr>
        <w:t>7. Módulos do sistema</w:t>
      </w:r>
    </w:p>
    <w:p>
      <w:pPr>
        <w:spacing w:line="300" w:lineRule="auto" w:after="120"/>
        <w:jc w:val="both"/>
      </w:pPr>
      <w:r>
        <w:rPr>
          <w:b w:val="0"/>
          <w:i/>
          <w:sz w:val="20"/>
        </w:rPr>
        <w:t>Cada módulo lógico da Solução, com prioridade, pilares impactados, dependências e flag ready_for_codegen.</w:t>
      </w:r>
    </w:p>
    <w:p>
      <w:pPr>
        <w:pStyle w:val="Heading3"/>
      </w:pPr>
      <w:r>
        <w:rPr>
          <w:color w:val="64748B"/>
          <w:sz w:val="24"/>
        </w:rPr>
        <w:t>7.1 Módulo: Dossiê e cadastro do caso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Dossiê e cadastro do caso. Prioridade: MANDATÓRIO. Pilares: P1-Business, P2-Architecture. Dependências: Nenhuma.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Cadastro, triagem, anexos, linha do tempo, conflito de interesses, prescrição/decadência. Cobre RF-01 a RF-05 e RF-11 a RF-16. Módulo central do sistema.</w:t>
      </w:r>
    </w:p>
    <w:p>
      <w:pPr>
        <w:pStyle w:val="Heading3"/>
      </w:pPr>
      <w:r>
        <w:rPr>
          <w:color w:val="64748B"/>
          <w:sz w:val="24"/>
        </w:rPr>
        <w:t>7.2 Módulo: Ingestão e normalização documental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Ingestão e normalização documental. Prioridade: MANDATÓRIO. Pilares: P2-Architecture, P3-Stack. Dependências: Depende de 7.1.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Upload, OCR, extração de metadados, classificação, correção manual, reprocessamento. Cobre RF-06 a RF-10. Alimenta dossiê e pesquisa.</w:t>
      </w:r>
    </w:p>
    <w:p>
      <w:pPr>
        <w:pStyle w:val="Heading3"/>
      </w:pPr>
      <w:r>
        <w:rPr>
          <w:color w:val="64748B"/>
          <w:sz w:val="24"/>
        </w:rPr>
        <w:t>7.3 Módulo: Pesquisa de legislação e jurisprudência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Pesquisa de legislação e jurisprudência. Prioridade: MANDATÓRIO. Pilares: P1-Business, P2-Architecture. Dependências: Depende de 7.1 e 7.10.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Busca por tema/tribunal/tese, priorização de fontes, integração DataJud (leitura), filtros por precedente. Cobre RF-17 a RF-22.</w:t>
      </w:r>
    </w:p>
    <w:p>
      <w:pPr>
        <w:pStyle w:val="Heading3"/>
      </w:pPr>
      <w:r>
        <w:rPr>
          <w:color w:val="64748B"/>
          <w:sz w:val="24"/>
        </w:rPr>
        <w:t>7.4 Módulo: Geração assistida de peças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Geração assistida de peças. Prioridade: MANDATÓRIO. Pilares: P1-Business, P2-Architecture, P3-Stack. Dependências: Depende de 7.1 e 7.3.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Modelos parametrizáveis por tipo de ação, IA local, edição com versões, validação de referências legais. Cobre RF-23 a RF-27.</w:t>
      </w:r>
    </w:p>
    <w:p>
      <w:pPr>
        <w:pStyle w:val="Heading3"/>
      </w:pPr>
      <w:r>
        <w:rPr>
          <w:color w:val="64748B"/>
          <w:sz w:val="24"/>
        </w:rPr>
        <w:t>7.5 Módulo: Fluxo de trabalho e revisão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Fluxo de trabalho e revisão. Prioridade: MANDATÓRIO. Pilares: P1-Business, P4-Testing. Dependências: Depende de 7.1.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Tarefas vinculadas a caso, peer-review, checklist por tipo de peça. Cobre RF-28 a RF-30.</w:t>
      </w:r>
    </w:p>
    <w:p>
      <w:pPr>
        <w:pStyle w:val="Heading3"/>
      </w:pPr>
      <w:r>
        <w:rPr>
          <w:color w:val="64748B"/>
          <w:sz w:val="24"/>
        </w:rPr>
        <w:t>7.6 Módulo: Motor de cálculos cíveis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Motor de cálculos cíveis. Prioridade: MANDATÓRIO. Pilares: P2-Architecture, P5-Compliance. Dependências: Nenhuma (módulo independente).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Juros, correção monetária, honorários, custas, memória de cálculo exportável. Cobre RF-31 a RF-35.</w:t>
      </w:r>
    </w:p>
    <w:p>
      <w:pPr>
        <w:pStyle w:val="Heading3"/>
      </w:pPr>
      <w:r>
        <w:rPr>
          <w:color w:val="64748B"/>
          <w:sz w:val="24"/>
        </w:rPr>
        <w:t>7.7 Módulo: Análise de risco e estratégia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Análise de risco e estratégia. Prioridade: RECOMENDADO. Pilares: P6-Risk. Dependências: Depende de 7.3 (histórico jurisprudencial). Pronto para CodeGen: NÃO.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Probabilidade de êxito, sugestão de estratégias, simulação de cenários. Cobre RF-36 a RF-38.</w:t>
      </w:r>
    </w:p>
    <w:p>
      <w:pPr>
        <w:pStyle w:val="Heading3"/>
      </w:pPr>
      <w:r>
        <w:rPr>
          <w:color w:val="64748B"/>
          <w:sz w:val="24"/>
        </w:rPr>
        <w:t>7.8 Módulo: Fluxos do contencioso cível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Fluxos do contencioso cível. Prioridade: MANDATÓRIO. Pilares: P1-Business. Dependências: Depende de 7.1 e 7.4.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Execução, conhecimento e tutela provisória. Cobre RF-39 a RF-41.</w:t>
      </w:r>
    </w:p>
    <w:p>
      <w:pPr>
        <w:pStyle w:val="Heading3"/>
      </w:pPr>
      <w:r>
        <w:rPr>
          <w:color w:val="64748B"/>
          <w:sz w:val="24"/>
        </w:rPr>
        <w:t>7.9 Módulo: Painel gerencial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Painel gerencial. Prioridade: MANDATÓRIO. Pilares: P1-Business. Dependências: Depende de 7.1.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Portfólio, alertas de prazo, relatórios. Cobre RF-42 a RF-44.</w:t>
      </w:r>
    </w:p>
    <w:p>
      <w:pPr>
        <w:pStyle w:val="Heading3"/>
      </w:pPr>
      <w:r>
        <w:rPr>
          <w:color w:val="64748B"/>
          <w:sz w:val="24"/>
        </w:rPr>
        <w:t>7.10 Módulo: Conector DataJud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Conector DataJud. Prioridade: MANDATÓRIO. Pilares: P2-Architecture, P5-Compliance, P6-Risk. Dependências: Nenhuma (módulo independente consumido por 7.3).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Integração com API Pública CNJ, autenticação APIKey, Query DSL, paginação com search_after, circuit breaker, tabela de aliases. Cobre RF-22 e RF-51 a RF-57.</w:t>
      </w:r>
    </w:p>
    <w:p>
      <w:pPr>
        <w:pStyle w:val="Heading3"/>
      </w:pPr>
      <w:r>
        <w:rPr>
          <w:color w:val="64748B"/>
          <w:sz w:val="24"/>
        </w:rPr>
        <w:t>7.11 Módulo: Auditoria e rastreabilidade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Auditoria e rastreabilidade. Prioridade: MANDATÓRIO. Pilares: P5-Compliance. Dependências: Transversal — todos os módulos gravam eventos aqui.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Trilha imutável de operações sensíveis com hash chain. Cobre RF-49 a RF-50 e RNF-07.</w:t>
      </w:r>
    </w:p>
    <w:p>
      <w:pPr>
        <w:pStyle w:val="Heading3"/>
      </w:pPr>
      <w:r>
        <w:rPr>
          <w:color w:val="64748B"/>
          <w:sz w:val="24"/>
        </w:rPr>
        <w:t>7.12 Módulo: Configurações e conectores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Configurações e conectores. Prioridade: MANDATÓRIO. Pilares: P5-Compliance. Dependências: Nenhuma. Pronto para CodeGen: SIM.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Gestão de credenciais criptografadas, configuração de fontes, ajustes de UI. Cobre RF-47 a RF-48.</w:t>
      </w:r>
    </w:p>
    <w:p>
      <w:pPr>
        <w:pStyle w:val="Heading3"/>
      </w:pPr>
      <w:r>
        <w:rPr>
          <w:color w:val="64748B"/>
          <w:sz w:val="24"/>
        </w:rPr>
        <w:t>7.13 Módulo: Anexo Paraná — Execução Fiscal Estadual</w:t>
      </w:r>
    </w:p>
    <w:p>
      <w:pPr>
        <w:spacing w:line="300" w:lineRule="auto" w:after="120"/>
        <w:jc w:val="both"/>
      </w:pPr>
      <w:r>
        <w:rPr>
          <w:b/>
          <w:i w:val="0"/>
          <w:color w:val="6D28D9"/>
          <w:sz w:val="20"/>
        </w:rPr>
        <w:t>MÓDULO: Anexo Paraná — Execução Fiscal Estadual. Prioridade: RECOMENDADO. Pilares: P5-Compliance, P6-Risk. Dependências: Depende de 7.10 (conector DataJud) e 7.11 (auditoria). Pronto para CodeGen: NÃO.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Descrição completa: Lei 15.552/2007, conector TJPR específico, auditoria separada. Cobre RF-58 a RF-60.</w:t>
      </w:r>
    </w:p>
    <w:p>
      <w:r>
        <w:br w:type="page"/>
      </w:r>
    </w:p>
    <w:p>
      <w:pPr>
        <w:pStyle w:val="Heading1"/>
      </w:pPr>
      <w:r>
        <w:rPr>
          <w:color w:val="6D28D9"/>
          <w:sz w:val="36"/>
        </w:rPr>
        <w:t>8. Entregáveis</w:t>
      </w:r>
    </w:p>
    <w:p>
      <w:pPr>
        <w:spacing w:line="300" w:lineRule="auto" w:after="120"/>
        <w:jc w:val="both"/>
      </w:pPr>
      <w:r>
        <w:rPr>
          <w:b w:val="0"/>
          <w:i/>
          <w:sz w:val="20"/>
        </w:rPr>
        <w:t>Lista de entregáveis concretos por fase. Cada entregável em parágrafo próprio com prefixo ENTREGÁVEL:, que o Arguidor usa para popular o campo DELIVERABLES do OCG e gerar items de backlog.</w:t>
      </w:r>
    </w:p>
    <w:p>
      <w:pPr>
        <w:pStyle w:val="Heading2"/>
      </w:pPr>
      <w:r>
        <w:rPr>
          <w:color w:val="1E293B"/>
          <w:sz w:val="28"/>
        </w:rPr>
        <w:t>8.1 Fase 1 — Versão inicial homologável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Instalador Windows. </w:t>
      </w:r>
      <w:r>
        <w:rPr>
          <w:sz w:val="22"/>
        </w:rPr>
        <w:t xml:space="preserve">Descrição: Instalador .exe via Inno Setup com wizard de 8 passos incluindo aceite de termos, pasta de instalação e criação do primeiro usuário.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Instalador Ubuntu. </w:t>
      </w:r>
      <w:r>
        <w:rPr>
          <w:sz w:val="22"/>
        </w:rPr>
        <w:t xml:space="preserve">Descrição: Pacote .deb + script install.sh interativo com as mesmas 8 etapas.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Schema local criptografado. </w:t>
      </w:r>
      <w:r>
        <w:rPr>
          <w:sz w:val="22"/>
        </w:rPr>
        <w:t xml:space="preserve">Descrição: Migrations aplicadas em SQLite/PostgreSQL embarcado com AES-256 em repouso.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Módulo de cadastro e dossiê. </w:t>
      </w:r>
      <w:r>
        <w:rPr>
          <w:sz w:val="22"/>
        </w:rPr>
        <w:t xml:space="preserve">Descrição: CRUD de casos, anexos, linha do tempo, alerta de prescrição/decadência.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Módulo de ingestão documental básico. </w:t>
      </w:r>
      <w:r>
        <w:rPr>
          <w:sz w:val="22"/>
        </w:rPr>
        <w:t xml:space="preserve">Descrição: Upload, OCR, extração de metadados com correção manual.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Conector DataJud (leitura). </w:t>
      </w:r>
      <w:r>
        <w:rPr>
          <w:sz w:val="22"/>
        </w:rPr>
        <w:t xml:space="preserve">Descrição: Implementação completa do conector HTTP POST com autenticação APIKey e paginação.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Motor de cálculos essencial. </w:t>
      </w:r>
      <w:r>
        <w:rPr>
          <w:sz w:val="22"/>
        </w:rPr>
        <w:t xml:space="preserve">Descrição: Juros, correção, honorários, custas com memória de cálculo exportável.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Geração de peças assistida (modelos básicos). </w:t>
      </w:r>
      <w:r>
        <w:rPr>
          <w:sz w:val="22"/>
        </w:rPr>
        <w:t xml:space="preserve">Descrição: Contestação, réplica, recurso com IA local.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Painel gerencial básico. </w:t>
      </w:r>
      <w:r>
        <w:rPr>
          <w:sz w:val="22"/>
        </w:rPr>
        <w:t xml:space="preserve">Descrição: Carteira, alertas de prazo D-7/D-3/D-0.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Trilhas de auditoria com hash chain. </w:t>
      </w:r>
      <w:r>
        <w:rPr>
          <w:sz w:val="22"/>
        </w:rPr>
        <w:t xml:space="preserve">Descrição: Registro imutável de operações sensíveis + ferramenta de verificação offline. </w:t>
      </w:r>
      <w:r>
        <w:rPr>
          <w:i/>
          <w:color w:val="64748B"/>
          <w:sz w:val="20"/>
        </w:rPr>
        <w:t xml:space="preserve">Fase: Fase 1. </w:t>
      </w:r>
      <w:r>
        <w:rPr>
          <w:i/>
          <w:color w:val="64748B"/>
          <w:sz w:val="20"/>
        </w:rPr>
        <w:t>Prioridade: MANDATÓRIO.</w:t>
      </w:r>
    </w:p>
    <w:p>
      <w:pPr>
        <w:pStyle w:val="Heading2"/>
      </w:pPr>
      <w:r>
        <w:rPr>
          <w:color w:val="1E293B"/>
          <w:sz w:val="28"/>
        </w:rPr>
        <w:t>8.2 Fase 2 — Evolução funcional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Análise de risco e simulação. </w:t>
      </w:r>
      <w:r>
        <w:rPr>
          <w:sz w:val="22"/>
        </w:rPr>
        <w:t xml:space="preserve">Descrição: Probabilidade de êxito por tipo de pedido usando modelo local treinado. </w:t>
      </w:r>
      <w:r>
        <w:rPr>
          <w:i/>
          <w:color w:val="64748B"/>
          <w:sz w:val="20"/>
        </w:rPr>
        <w:t xml:space="preserve">Fase: Fase 2. </w:t>
      </w:r>
      <w:r>
        <w:rPr>
          <w:i/>
          <w:color w:val="64748B"/>
          <w:sz w:val="20"/>
        </w:rPr>
        <w:t>Prioridade: RECOMENDADO.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Gestão de portfólio avançada. </w:t>
      </w:r>
      <w:r>
        <w:rPr>
          <w:sz w:val="22"/>
        </w:rPr>
        <w:t xml:space="preserve">Descrição: Relatórios mensais, KPIs, métricas de atividade do escritório. </w:t>
      </w:r>
      <w:r>
        <w:rPr>
          <w:i/>
          <w:color w:val="64748B"/>
          <w:sz w:val="20"/>
        </w:rPr>
        <w:t xml:space="preserve">Fase: Fase 2. </w:t>
      </w:r>
      <w:r>
        <w:rPr>
          <w:i/>
          <w:color w:val="64748B"/>
          <w:sz w:val="20"/>
        </w:rPr>
        <w:t>Prioridade: RECOMENDADO.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Modelos de peças expandidos. </w:t>
      </w:r>
      <w:r>
        <w:rPr>
          <w:sz w:val="22"/>
        </w:rPr>
        <w:t xml:space="preserve">Descrição: Cobertura de todos os fluxos cíveis (conhecimento, execução, tutela provisória). </w:t>
      </w:r>
      <w:r>
        <w:rPr>
          <w:i/>
          <w:color w:val="64748B"/>
          <w:sz w:val="20"/>
        </w:rPr>
        <w:t xml:space="preserve">Fase: Fase 2. </w:t>
      </w:r>
      <w:r>
        <w:rPr>
          <w:i/>
          <w:color w:val="64748B"/>
          <w:sz w:val="20"/>
        </w:rPr>
        <w:t>Prioridade: MANDATÓRIO.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Gestão financeira. </w:t>
      </w:r>
      <w:r>
        <w:rPr>
          <w:sz w:val="22"/>
        </w:rPr>
        <w:t xml:space="preserve">Descrição: Honorários, recibos, controle de inadimplência. </w:t>
      </w:r>
      <w:r>
        <w:rPr>
          <w:i/>
          <w:color w:val="64748B"/>
          <w:sz w:val="20"/>
        </w:rPr>
        <w:t xml:space="preserve">Fase: Fase 2. </w:t>
      </w:r>
      <w:r>
        <w:rPr>
          <w:i/>
          <w:color w:val="64748B"/>
          <w:sz w:val="20"/>
        </w:rPr>
        <w:t>Prioridade: RECOMENDADO.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Integração com bases jurídicas privadas. </w:t>
      </w:r>
      <w:r>
        <w:rPr>
          <w:sz w:val="22"/>
        </w:rPr>
        <w:t xml:space="preserve">Descrição: Conectores plugáveis para bases pagas opcionais. </w:t>
      </w:r>
      <w:r>
        <w:rPr>
          <w:i/>
          <w:color w:val="64748B"/>
          <w:sz w:val="20"/>
        </w:rPr>
        <w:t xml:space="preserve">Fase: Fase 2. </w:t>
      </w:r>
      <w:r>
        <w:rPr>
          <w:i/>
          <w:color w:val="64748B"/>
          <w:sz w:val="20"/>
        </w:rPr>
        <w:t>Prioridade: RECOMENDADO.</w:t>
      </w:r>
    </w:p>
    <w:p>
      <w:pPr>
        <w:pStyle w:val="Heading2"/>
      </w:pPr>
      <w:r>
        <w:rPr>
          <w:color w:val="1E293B"/>
          <w:sz w:val="28"/>
        </w:rPr>
        <w:t>8.3 Fase 3 — Maturidade institucional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Sincronização multi-dispositivo. </w:t>
      </w:r>
      <w:r>
        <w:rPr>
          <w:sz w:val="22"/>
        </w:rPr>
        <w:t xml:space="preserve">Descrição: Sync opcional local-to-local ou via servidor do cliente. </w:t>
      </w:r>
      <w:r>
        <w:rPr>
          <w:i/>
          <w:color w:val="64748B"/>
          <w:sz w:val="20"/>
        </w:rPr>
        <w:t xml:space="preserve">Fase: Fase 3. </w:t>
      </w:r>
      <w:r>
        <w:rPr>
          <w:i/>
          <w:color w:val="64748B"/>
          <w:sz w:val="20"/>
        </w:rPr>
        <w:t>Prioridade: RECOMENDADO.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Assinatura digital ICP-Brasil. </w:t>
      </w:r>
      <w:r>
        <w:rPr>
          <w:sz w:val="22"/>
        </w:rPr>
        <w:t xml:space="preserve">Descrição: Integração com certificado A1/A3 para assinar peças geradas. </w:t>
      </w:r>
      <w:r>
        <w:rPr>
          <w:i/>
          <w:color w:val="64748B"/>
          <w:sz w:val="20"/>
        </w:rPr>
        <w:t xml:space="preserve">Fase: Fase 3. </w:t>
      </w:r>
      <w:r>
        <w:rPr>
          <w:i/>
          <w:color w:val="64748B"/>
          <w:sz w:val="20"/>
        </w:rPr>
        <w:t>Prioridade: RECOMENDADO.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Integração contábil completa. </w:t>
      </w:r>
      <w:r>
        <w:rPr>
          <w:sz w:val="22"/>
        </w:rPr>
        <w:t xml:space="preserve">Descrição: Exportação para ERPs contábeis (Omie, ContaAzul, Conta Simples). </w:t>
      </w:r>
      <w:r>
        <w:rPr>
          <w:i/>
          <w:color w:val="64748B"/>
          <w:sz w:val="20"/>
        </w:rPr>
        <w:t xml:space="preserve">Fase: Fase 3. </w:t>
      </w:r>
      <w:r>
        <w:rPr>
          <w:i/>
          <w:color w:val="64748B"/>
          <w:sz w:val="20"/>
        </w:rPr>
        <w:t>Prioridade: RECOMENDADO.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Analítica do escritório. </w:t>
      </w:r>
      <w:r>
        <w:rPr>
          <w:sz w:val="22"/>
        </w:rPr>
        <w:t xml:space="preserve">Descrição: Dashboards consolidados com comparativos temporais e benchmarks. </w:t>
      </w:r>
      <w:r>
        <w:rPr>
          <w:i/>
          <w:color w:val="64748B"/>
          <w:sz w:val="20"/>
        </w:rPr>
        <w:t xml:space="preserve">Fase: Fase 3. </w:t>
      </w:r>
      <w:r>
        <w:rPr>
          <w:i/>
          <w:color w:val="64748B"/>
          <w:sz w:val="20"/>
        </w:rPr>
        <w:t>Prioridade: RECOMENDADO.</w:t>
      </w:r>
    </w:p>
    <w:p>
      <w:pPr>
        <w:pStyle w:val="Heading2"/>
      </w:pPr>
      <w:r>
        <w:rPr>
          <w:color w:val="1E293B"/>
          <w:sz w:val="28"/>
        </w:rPr>
        <w:t>8.4 Fase 4 — Expansões futuras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Peticionamento eletrônico automatizado. </w:t>
      </w:r>
      <w:r>
        <w:rPr>
          <w:sz w:val="22"/>
        </w:rPr>
        <w:t xml:space="preserve">Descrição: Envio de peças para tribunais que aceitem API — não em V1 pelo risco. </w:t>
      </w:r>
      <w:r>
        <w:rPr>
          <w:i/>
          <w:color w:val="64748B"/>
          <w:sz w:val="20"/>
        </w:rPr>
        <w:t xml:space="preserve">Fase: Fase 4. </w:t>
      </w:r>
      <w:r>
        <w:rPr>
          <w:i/>
          <w:color w:val="64748B"/>
          <w:sz w:val="20"/>
        </w:rPr>
        <w:t>Prioridade: RECOMENDADO.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Marketplace de modelos de peças. </w:t>
      </w:r>
      <w:r>
        <w:rPr>
          <w:sz w:val="22"/>
        </w:rPr>
        <w:t xml:space="preserve">Descrição: Loja interna para advogados compartilharem/venderem modelos. </w:t>
      </w:r>
      <w:r>
        <w:rPr>
          <w:i/>
          <w:color w:val="64748B"/>
          <w:sz w:val="20"/>
        </w:rPr>
        <w:t xml:space="preserve">Fase: Fase 4. </w:t>
      </w:r>
      <w:r>
        <w:rPr>
          <w:i/>
          <w:color w:val="64748B"/>
          <w:sz w:val="20"/>
        </w:rPr>
        <w:t>Prioridade: RECOMENDADO.</w:t>
      </w:r>
    </w:p>
    <w:p>
      <w:pPr>
        <w:spacing w:after="80"/>
        <w:ind w:left="283" w:hanging="283"/>
      </w:pPr>
      <w:r>
        <w:rPr>
          <w:b/>
          <w:color w:val="6D28D9"/>
          <w:sz w:val="22"/>
        </w:rPr>
        <w:t xml:space="preserve">ENTREGÁVEL: Especialização por domínios jurídicos. </w:t>
      </w:r>
      <w:r>
        <w:rPr>
          <w:sz w:val="22"/>
        </w:rPr>
        <w:t xml:space="preserve">Descrição: Módulos adicionais (trabalhista, tributário, criminal) como plugins. </w:t>
      </w:r>
      <w:r>
        <w:rPr>
          <w:i/>
          <w:color w:val="64748B"/>
          <w:sz w:val="20"/>
        </w:rPr>
        <w:t xml:space="preserve">Fase: Fase 4. </w:t>
      </w:r>
      <w:r>
        <w:rPr>
          <w:i/>
          <w:color w:val="64748B"/>
          <w:sz w:val="20"/>
        </w:rPr>
        <w:t>Prioridade: RECOMENDADO.</w:t>
      </w:r>
    </w:p>
    <w:p>
      <w:pPr>
        <w:pStyle w:val="Heading1"/>
      </w:pPr>
      <w:r>
        <w:rPr>
          <w:color w:val="6D28D9"/>
          <w:sz w:val="36"/>
        </w:rPr>
        <w:t>9. Roadmap</w:t>
      </w:r>
    </w:p>
    <w:p>
      <w:pPr>
        <w:spacing w:line="300" w:lineRule="auto" w:after="120"/>
        <w:jc w:val="both"/>
      </w:pPr>
      <w:r>
        <w:rPr>
          <w:b w:val="0"/>
          <w:i/>
          <w:sz w:val="20"/>
        </w:rPr>
        <w:t>Sequenciamento técnico de entregas. O Arguidor usa esta seção para organizar module_candidates em fases priorizadas no Roadmap do projeto.</w:t>
      </w:r>
    </w:p>
    <w:p>
      <w:pPr>
        <w:pStyle w:val="Heading2"/>
      </w:pPr>
      <w:r>
        <w:rPr>
          <w:color w:val="1E293B"/>
          <w:sz w:val="28"/>
        </w:rPr>
        <w:t>Fase 1 — Versão inicial homologável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Duração estimada: 6 meses. Objetivo: entregar versão mínima viável que cobre o fluxo completo de um caso cível (cadastro → ingestão → pesquisa → peça → cálculo → auditoria).</w:t>
      </w:r>
    </w:p>
    <w:p>
      <w:pPr>
        <w:pStyle w:val="ListBullet"/>
        <w:spacing w:after="40"/>
        <w:ind w:left="340"/>
      </w:pPr>
      <w:r>
        <w:rPr>
          <w:sz w:val="22"/>
        </w:rPr>
        <w:t>Instalador Windows e Ubuntu</w:t>
      </w:r>
    </w:p>
    <w:p>
      <w:pPr>
        <w:pStyle w:val="ListBullet"/>
        <w:spacing w:after="40"/>
        <w:ind w:left="340"/>
      </w:pPr>
      <w:r>
        <w:rPr>
          <w:sz w:val="22"/>
        </w:rPr>
        <w:t>Schema local criptografado</w:t>
      </w:r>
    </w:p>
    <w:p>
      <w:pPr>
        <w:pStyle w:val="ListBullet"/>
        <w:spacing w:after="40"/>
        <w:ind w:left="340"/>
      </w:pPr>
      <w:r>
        <w:rPr>
          <w:sz w:val="22"/>
        </w:rPr>
        <w:t>Módulo de cadastro e dossiê (módulo 7.1)</w:t>
      </w:r>
    </w:p>
    <w:p>
      <w:pPr>
        <w:pStyle w:val="ListBullet"/>
        <w:spacing w:after="40"/>
        <w:ind w:left="340"/>
      </w:pPr>
      <w:r>
        <w:rPr>
          <w:sz w:val="22"/>
        </w:rPr>
        <w:t>Ingestão documental básica com OCR (módulo 7.2)</w:t>
      </w:r>
    </w:p>
    <w:p>
      <w:pPr>
        <w:pStyle w:val="ListBullet"/>
        <w:spacing w:after="40"/>
        <w:ind w:left="340"/>
      </w:pPr>
      <w:r>
        <w:rPr>
          <w:sz w:val="22"/>
        </w:rPr>
        <w:t>Pesquisa jurisprudencial (módulo 7.3)</w:t>
      </w:r>
    </w:p>
    <w:p>
      <w:pPr>
        <w:pStyle w:val="ListBullet"/>
        <w:spacing w:after="40"/>
        <w:ind w:left="340"/>
      </w:pPr>
      <w:r>
        <w:rPr>
          <w:sz w:val="22"/>
        </w:rPr>
        <w:t>Geração de peças com modelos essenciais (módulo 7.4)</w:t>
      </w:r>
    </w:p>
    <w:p>
      <w:pPr>
        <w:pStyle w:val="ListBullet"/>
        <w:spacing w:after="40"/>
        <w:ind w:left="340"/>
      </w:pPr>
      <w:r>
        <w:rPr>
          <w:sz w:val="22"/>
        </w:rPr>
        <w:t>Fluxo de trabalho (módulo 7.5)</w:t>
      </w:r>
    </w:p>
    <w:p>
      <w:pPr>
        <w:pStyle w:val="ListBullet"/>
        <w:spacing w:after="40"/>
        <w:ind w:left="340"/>
      </w:pPr>
      <w:r>
        <w:rPr>
          <w:sz w:val="22"/>
        </w:rPr>
        <w:t>Motor de cálculos essencial (módulo 7.6)</w:t>
      </w:r>
    </w:p>
    <w:p>
      <w:pPr>
        <w:pStyle w:val="ListBullet"/>
        <w:spacing w:after="40"/>
        <w:ind w:left="340"/>
      </w:pPr>
      <w:r>
        <w:rPr>
          <w:sz w:val="22"/>
        </w:rPr>
        <w:t>Fluxos cíveis cobertos (módulo 7.8)</w:t>
      </w:r>
    </w:p>
    <w:p>
      <w:pPr>
        <w:pStyle w:val="ListBullet"/>
        <w:spacing w:after="40"/>
        <w:ind w:left="340"/>
      </w:pPr>
      <w:r>
        <w:rPr>
          <w:sz w:val="22"/>
        </w:rPr>
        <w:t>Painel gerencial básico (módulo 7.9)</w:t>
      </w:r>
    </w:p>
    <w:p>
      <w:pPr>
        <w:pStyle w:val="ListBullet"/>
        <w:spacing w:after="40"/>
        <w:ind w:left="340"/>
      </w:pPr>
      <w:r>
        <w:rPr>
          <w:sz w:val="22"/>
        </w:rPr>
        <w:t>Conector DataJud completo (módulo 7.10)</w:t>
      </w:r>
    </w:p>
    <w:p>
      <w:pPr>
        <w:pStyle w:val="ListBullet"/>
        <w:spacing w:after="40"/>
        <w:ind w:left="340"/>
      </w:pPr>
      <w:r>
        <w:rPr>
          <w:sz w:val="22"/>
        </w:rPr>
        <w:t>Auditoria com hash chain (módulo 7.11)</w:t>
      </w:r>
    </w:p>
    <w:p>
      <w:pPr>
        <w:pStyle w:val="ListBullet"/>
        <w:spacing w:after="40"/>
        <w:ind w:left="340"/>
      </w:pPr>
      <w:r>
        <w:rPr>
          <w:sz w:val="22"/>
        </w:rPr>
        <w:t>Configurações de conectores (módulo 7.12)</w:t>
      </w:r>
    </w:p>
    <w:p>
      <w:pPr>
        <w:pStyle w:val="Heading2"/>
      </w:pPr>
      <w:r>
        <w:rPr>
          <w:color w:val="1E293B"/>
          <w:sz w:val="28"/>
        </w:rPr>
        <w:t>Fase 2 — Evolução funcional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Duração estimada: 4 meses após Fase 1. Objetivo: adicionar inteligência de risco e gestão financeira.</w:t>
      </w:r>
    </w:p>
    <w:p>
      <w:pPr>
        <w:pStyle w:val="ListBullet"/>
        <w:spacing w:after="40"/>
        <w:ind w:left="340"/>
      </w:pPr>
      <w:r>
        <w:rPr>
          <w:sz w:val="22"/>
        </w:rPr>
        <w:t>Análise de risco e estratégia (módulo 7.7)</w:t>
      </w:r>
    </w:p>
    <w:p>
      <w:pPr>
        <w:pStyle w:val="ListBullet"/>
        <w:spacing w:after="40"/>
        <w:ind w:left="340"/>
      </w:pPr>
      <w:r>
        <w:rPr>
          <w:sz w:val="22"/>
        </w:rPr>
        <w:t>Gestão de portfólio avançada (extensão do módulo 7.9)</w:t>
      </w:r>
    </w:p>
    <w:p>
      <w:pPr>
        <w:pStyle w:val="ListBullet"/>
        <w:spacing w:after="40"/>
        <w:ind w:left="340"/>
      </w:pPr>
      <w:r>
        <w:rPr>
          <w:sz w:val="22"/>
        </w:rPr>
        <w:t>Gestão financeira (módulo 7.11 ampliado — integração com honorários)</w:t>
      </w:r>
    </w:p>
    <w:p>
      <w:pPr>
        <w:pStyle w:val="ListBullet"/>
        <w:spacing w:after="40"/>
        <w:ind w:left="340"/>
      </w:pPr>
      <w:r>
        <w:rPr>
          <w:sz w:val="22"/>
        </w:rPr>
        <w:t>Integração com bases jurídicas privadas (extensão do módulo 7.3)</w:t>
      </w:r>
    </w:p>
    <w:p>
      <w:pPr>
        <w:pStyle w:val="ListBullet"/>
        <w:spacing w:after="40"/>
        <w:ind w:left="340"/>
      </w:pPr>
      <w:r>
        <w:rPr>
          <w:sz w:val="22"/>
        </w:rPr>
        <w:t>Anexo Paraná — Execução Fiscal Estadual (módulo 7.13)</w:t>
      </w:r>
    </w:p>
    <w:p>
      <w:pPr>
        <w:pStyle w:val="Heading2"/>
      </w:pPr>
      <w:r>
        <w:rPr>
          <w:color w:val="1E293B"/>
          <w:sz w:val="28"/>
        </w:rPr>
        <w:t>Fase 3 — Maturidade institucional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Duração estimada: 6 meses após Fase 2. Objetivo: tornar a Solução apta a escritórios de porte médio.</w:t>
      </w:r>
    </w:p>
    <w:p>
      <w:pPr>
        <w:pStyle w:val="ListBullet"/>
        <w:spacing w:after="40"/>
        <w:ind w:left="340"/>
      </w:pPr>
      <w:r>
        <w:rPr>
          <w:sz w:val="22"/>
        </w:rPr>
        <w:t>Sincronização multi-dispositivo opcional</w:t>
      </w:r>
    </w:p>
    <w:p>
      <w:pPr>
        <w:pStyle w:val="ListBullet"/>
        <w:spacing w:after="40"/>
        <w:ind w:left="340"/>
      </w:pPr>
      <w:r>
        <w:rPr>
          <w:sz w:val="22"/>
        </w:rPr>
        <w:t>Colaboração multiusuário local</w:t>
      </w:r>
    </w:p>
    <w:p>
      <w:pPr>
        <w:pStyle w:val="ListBullet"/>
        <w:spacing w:after="40"/>
        <w:ind w:left="340"/>
      </w:pPr>
      <w:r>
        <w:rPr>
          <w:sz w:val="22"/>
        </w:rPr>
        <w:t>Assinatura digital ICP-Brasil</w:t>
      </w:r>
    </w:p>
    <w:p>
      <w:pPr>
        <w:pStyle w:val="ListBullet"/>
        <w:spacing w:after="40"/>
        <w:ind w:left="340"/>
      </w:pPr>
      <w:r>
        <w:rPr>
          <w:sz w:val="22"/>
        </w:rPr>
        <w:t>Integração contábil completa</w:t>
      </w:r>
    </w:p>
    <w:p>
      <w:pPr>
        <w:pStyle w:val="ListBullet"/>
        <w:spacing w:after="40"/>
        <w:ind w:left="340"/>
      </w:pPr>
      <w:r>
        <w:rPr>
          <w:sz w:val="22"/>
        </w:rPr>
        <w:t>Analítica do escritório</w:t>
      </w:r>
    </w:p>
    <w:p>
      <w:pPr>
        <w:pStyle w:val="Heading2"/>
      </w:pPr>
      <w:r>
        <w:rPr>
          <w:color w:val="1E293B"/>
          <w:sz w:val="28"/>
        </w:rPr>
        <w:t>Fase 4 — Expansões futuras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Sem cronograma fixo. Depende de demanda de mercado e contratos específicos.</w:t>
      </w:r>
    </w:p>
    <w:p>
      <w:pPr>
        <w:pStyle w:val="ListBullet"/>
        <w:spacing w:after="40"/>
        <w:ind w:left="340"/>
      </w:pPr>
      <w:r>
        <w:rPr>
          <w:sz w:val="22"/>
        </w:rPr>
        <w:t>Peticionamento eletrônico automatizado</w:t>
      </w:r>
    </w:p>
    <w:p>
      <w:pPr>
        <w:pStyle w:val="ListBullet"/>
        <w:spacing w:after="40"/>
        <w:ind w:left="340"/>
      </w:pPr>
      <w:r>
        <w:rPr>
          <w:sz w:val="22"/>
        </w:rPr>
        <w:t>Especialização por domínios jurídicos (trabalhista, tributário, criminal)</w:t>
      </w:r>
    </w:p>
    <w:p>
      <w:pPr>
        <w:pStyle w:val="ListBullet"/>
        <w:spacing w:after="40"/>
        <w:ind w:left="340"/>
      </w:pPr>
      <w:r>
        <w:rPr>
          <w:sz w:val="22"/>
        </w:rPr>
        <w:t>Marketplace de modelos</w:t>
      </w:r>
    </w:p>
    <w:p>
      <w:pPr>
        <w:pStyle w:val="Heading1"/>
      </w:pPr>
      <w:r>
        <w:rPr>
          <w:color w:val="6D28D9"/>
          <w:sz w:val="36"/>
        </w:rPr>
        <w:t>10. Riscos conhecidos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RISCO-01: API Pública do DataJud em fase Beta — pode mudar contrato ou ficar instável. Probabilidade: média. Impacto: alto (quebra pesquisa). Mitigação: circuit breaker, cache local agressivo, monitoramento de status.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RISCO-02: IA local requer hardware mínimo não atendido por advogado com notebook antigo. Probabilidade: média. Impacto: médio (degrada UX mas não quebra). Mitigação: degradar graciosamente para modelos menores; oferecer fallback sem IA.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RISCO-03: Dados do cliente expostos se o notebook do advogado for comprometido. Probabilidade: baixa. Impacto: crítico (LGPD). Mitigação: AES-256 em repouso, senha obrigatória na primeira abertura, opção de wipe remoto.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RISCO-04: Mudança regulatória (LGPD, OAB) que invalide capacidade atual. Probabilidade: baixa. Impacto: médio. Mitigação: modularidade, monitoramento jurídico.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RISCO-05: Divergência na modelagem de Query DSL do DataJud entre tribunais. Probabilidade: alta. Impacto: médio. Mitigação: testar cada alias individualmente; tabela de quirks por tribunal.</w:t>
      </w:r>
    </w:p>
    <w:p>
      <w:pPr>
        <w:pStyle w:val="Heading1"/>
      </w:pPr>
      <w:r>
        <w:rPr>
          <w:color w:val="6D28D9"/>
          <w:sz w:val="36"/>
        </w:rPr>
        <w:t>11. Critérios de aceite</w:t>
      </w:r>
    </w:p>
    <w:p>
      <w:pPr>
        <w:pStyle w:val="ListNumber"/>
        <w:spacing w:after="40"/>
      </w:pPr>
      <w:r>
        <w:rPr>
          <w:sz w:val="22"/>
        </w:rPr>
        <w:t>Todos os RFs [MANDATÓRIO] implementados e validados em testes automatizados.</w:t>
      </w:r>
    </w:p>
    <w:p>
      <w:pPr>
        <w:pStyle w:val="ListNumber"/>
        <w:spacing w:after="40"/>
      </w:pPr>
      <w:r>
        <w:rPr>
          <w:sz w:val="22"/>
        </w:rPr>
        <w:t>Cobertura de testes unitários ≥ 80% nos módulos de cadastro, cálculo e auditoria.</w:t>
      </w:r>
    </w:p>
    <w:p>
      <w:pPr>
        <w:pStyle w:val="ListNumber"/>
        <w:spacing w:after="40"/>
      </w:pPr>
      <w:r>
        <w:rPr>
          <w:sz w:val="22"/>
        </w:rPr>
        <w:t>Teste de integração com ao menos 5 tribunais reais via DataJud.</w:t>
      </w:r>
    </w:p>
    <w:p>
      <w:pPr>
        <w:pStyle w:val="ListNumber"/>
        <w:spacing w:after="40"/>
      </w:pPr>
      <w:r>
        <w:rPr>
          <w:sz w:val="22"/>
        </w:rPr>
        <w:t>Instalador funciona em Windows 10, Windows 11 e Ubuntu 22.04+.</w:t>
      </w:r>
    </w:p>
    <w:p>
      <w:pPr>
        <w:pStyle w:val="ListNumber"/>
        <w:spacing w:after="40"/>
      </w:pPr>
      <w:r>
        <w:rPr>
          <w:sz w:val="22"/>
        </w:rPr>
        <w:t>Banco local criptografado verificável por ferramenta externa de inspeção.</w:t>
      </w:r>
    </w:p>
    <w:p>
      <w:pPr>
        <w:pStyle w:val="ListNumber"/>
        <w:spacing w:after="40"/>
      </w:pPr>
      <w:r>
        <w:rPr>
          <w:sz w:val="22"/>
        </w:rPr>
        <w:t>Trilha de auditoria validável offline via ferramenta do próprio produto.</w:t>
      </w:r>
    </w:p>
    <w:p>
      <w:pPr>
        <w:pStyle w:val="ListNumber"/>
        <w:spacing w:after="40"/>
      </w:pPr>
      <w:r>
        <w:rPr>
          <w:sz w:val="22"/>
        </w:rPr>
        <w:t>Documentação técnica completa: README de setup, guia do usuário, ADRs.</w:t>
      </w:r>
    </w:p>
    <w:p>
      <w:pPr>
        <w:pStyle w:val="ListNumber"/>
        <w:spacing w:after="40"/>
      </w:pPr>
      <w:r>
        <w:rPr>
          <w:sz w:val="22"/>
        </w:rPr>
        <w:t>Aprovação do Gatekeeper do GCA em todos os 7 pilares com score ≥ 75.</w:t>
      </w:r>
    </w:p>
    <w:p>
      <w:pPr>
        <w:pStyle w:val="ListNumber"/>
        <w:spacing w:after="40"/>
      </w:pPr>
      <w:r>
        <w:rPr>
          <w:sz w:val="22"/>
        </w:rPr>
        <w:t>Homologação com 3 escritórios-piloto por 30 dias antes de GA.</w:t>
      </w:r>
    </w:p>
    <w:p>
      <w:pPr>
        <w:pStyle w:val="Heading1"/>
      </w:pPr>
      <w:r>
        <w:rPr>
          <w:color w:val="6D28D9"/>
          <w:sz w:val="36"/>
        </w:rPr>
        <w:t>12. Integrações externas</w:t>
      </w:r>
    </w:p>
    <w:p>
      <w:pPr>
        <w:pStyle w:val="Heading2"/>
      </w:pPr>
      <w:r>
        <w:rPr>
          <w:color w:val="1E293B"/>
          <w:sz w:val="28"/>
        </w:rPr>
        <w:t>12.1 API Pública do DataJud (CNJ)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Fonte: Base Nacional de Dados do Poder Judiciário, operada pelo CNJ.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URL base: https://api-publica.datajud.cnj.jus.br/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Natureza: pública, Beta, não-comercial.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Método: HTTP POST para /api_publica_{alias}/_search com corpo JSON em Query DSL compatível com Elasticsearch.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Autenticação: cabeçalho Authorization: APIKey {chave} — chave pública publicada pelo CNJ na wiki do DataJud.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Paginação: size + sort + search_after, limite de 10.000 resultados por janela.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Limites: taxa informal recomendada de 100 req/min por alias (não documentada oficialmente).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Riscos: Beta — contrato pode mudar, quotas podem ser impostas sem aviso prévio, aliases podem ser descontinuados.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Uso no projeto: enriquecer pesquisa jurisprudencial (módulo 7.3) e análise de risco (módulo 7.7) com dados processuais públicos.</w:t>
      </w:r>
    </w:p>
    <w:p>
      <w:pPr>
        <w:pStyle w:val="Heading2"/>
      </w:pPr>
      <w:r>
        <w:rPr>
          <w:color w:val="1E293B"/>
          <w:sz w:val="28"/>
        </w:rPr>
        <w:t>12.2 Tabelas oficiais de índices econômicos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Fonte: Banco Central do Brasil (Selic), IBGE (IPCA, INPC), FGV (IGP-M, TR).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Método: download periódico de tabelas CSV/XLS oficiais para atualização local.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Frequência: diária para Selic; mensal para demais.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Uso no projeto: motor de cálculos cíveis (módulo 7.6).</w:t>
      </w:r>
    </w:p>
    <w:p>
      <w:pPr>
        <w:pStyle w:val="Heading2"/>
      </w:pPr>
      <w:r>
        <w:rPr>
          <w:color w:val="1E293B"/>
          <w:sz w:val="28"/>
        </w:rPr>
        <w:t>12.3 Tabelas de custas dos tribunais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Fonte: sites oficiais dos tribunais (TJPR, TJSP, STJ, etc.).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Método: download manual (não há API) + revisão trimestral de atualização.</w:t>
      </w:r>
    </w:p>
    <w:p>
      <w:pPr>
        <w:spacing w:line="300" w:lineRule="auto" w:after="120"/>
        <w:jc w:val="both"/>
      </w:pPr>
      <w:r>
        <w:rPr>
          <w:b w:val="0"/>
          <w:i w:val="0"/>
          <w:sz w:val="22"/>
        </w:rPr>
        <w:t>Uso no projeto: motor de cálculos (RF-34).</w:t>
      </w:r>
    </w:p>
    <w:p>
      <w:pPr>
        <w:pStyle w:val="Heading1"/>
      </w:pPr>
      <w:r>
        <w:rPr>
          <w:color w:val="6D28D9"/>
          <w:sz w:val="36"/>
        </w:rPr>
        <w:t>13. Conformidade, segurança e privacidade</w:t>
      </w:r>
    </w:p>
    <w:p>
      <w:pPr>
        <w:pStyle w:val="ListBullet"/>
        <w:spacing w:after="40"/>
        <w:ind w:left="340"/>
      </w:pPr>
      <w:r>
        <w:rPr>
          <w:sz w:val="22"/>
        </w:rPr>
        <w:t>LGPD (Lei 13.709/2018): consentimento explícito no primeiro uso, minimização de coleta, política de retenção configurável por caso, portabilidade via exportação completa, DPO de referência do escritório.</w:t>
      </w:r>
    </w:p>
    <w:p>
      <w:pPr>
        <w:pStyle w:val="ListBullet"/>
        <w:spacing w:after="40"/>
        <w:ind w:left="340"/>
      </w:pPr>
      <w:r>
        <w:rPr>
          <w:sz w:val="22"/>
        </w:rPr>
        <w:t>Segurança: AES-256 em repouso, TLS 1.3 em trânsito, credenciais criptografadas com Fernet, senha obrigatória com bcrypt + salt.</w:t>
      </w:r>
    </w:p>
    <w:p>
      <w:pPr>
        <w:pStyle w:val="ListBullet"/>
        <w:spacing w:after="40"/>
        <w:ind w:left="340"/>
      </w:pPr>
      <w:r>
        <w:rPr>
          <w:sz w:val="22"/>
        </w:rPr>
        <w:t>Auditoria: trilhas imutáveis com hash chain, retenção mínima de 5 anos conforme recomendação OAB.</w:t>
      </w:r>
    </w:p>
    <w:p>
      <w:pPr>
        <w:pStyle w:val="ListBullet"/>
        <w:spacing w:after="40"/>
        <w:ind w:left="340"/>
      </w:pPr>
      <w:r>
        <w:rPr>
          <w:sz w:val="22"/>
        </w:rPr>
        <w:t>Código de Ética da OAB: sigilo profissional, vedação de compartilhamento de informações sem consentimento do cliente.</w:t>
      </w:r>
    </w:p>
    <w:p>
      <w:pPr>
        <w:pStyle w:val="ListBullet"/>
        <w:spacing w:after="40"/>
        <w:ind w:left="340"/>
      </w:pPr>
      <w:r>
        <w:rPr>
          <w:sz w:val="22"/>
        </w:rPr>
        <w:t>Aderência ao Termo de Uso da API Pública do DataJud.</w:t>
      </w:r>
    </w:p>
    <w:p>
      <w:r>
        <w:br w:type="page"/>
      </w:r>
    </w:p>
    <w:p>
      <w:pPr>
        <w:pStyle w:val="Heading1"/>
      </w:pPr>
      <w:r>
        <w:rPr>
          <w:color w:val="6D28D9"/>
          <w:sz w:val="36"/>
        </w:rPr>
        <w:t>Anexo A — Mudanças da v1.0 para v2.0</w:t>
      </w:r>
    </w:p>
    <w:p>
      <w:pPr>
        <w:pStyle w:val="ListBullet"/>
        <w:spacing w:after="40"/>
        <w:ind w:left="340"/>
      </w:pPr>
      <w:r>
        <w:rPr>
          <w:sz w:val="22"/>
        </w:rPr>
        <w:t>Todos os RFs saíram de tabelas (ilegíveis para o Arguidor do GCA) e viraram parágrafos numerados com prefixos [MANDATÓRIO/RECOMENDADO] + [Pilar].</w:t>
      </w:r>
    </w:p>
    <w:p>
      <w:pPr>
        <w:pStyle w:val="ListBullet"/>
        <w:spacing w:after="40"/>
        <w:ind w:left="340"/>
      </w:pPr>
      <w:r>
        <w:rPr>
          <w:sz w:val="22"/>
        </w:rPr>
        <w:t>Seção 5 expandida de 50 para 60 RFs com incorporação dos 6 RFs de integração DataJud (RF-51 a RF-57) e anexo Paraná (RF-58 a RF-60).</w:t>
      </w:r>
    </w:p>
    <w:p>
      <w:pPr>
        <w:pStyle w:val="ListBullet"/>
        <w:spacing w:after="40"/>
        <w:ind w:left="340"/>
      </w:pPr>
      <w:r>
        <w:rPr>
          <w:sz w:val="22"/>
        </w:rPr>
        <w:t>Seção 7 (Módulos) nova — cada módulo com prefixo MÓDULO: legível pelo Arguidor.</w:t>
      </w:r>
    </w:p>
    <w:p>
      <w:pPr>
        <w:pStyle w:val="ListBullet"/>
        <w:spacing w:after="40"/>
        <w:ind w:left="340"/>
      </w:pPr>
      <w:r>
        <w:rPr>
          <w:sz w:val="22"/>
        </w:rPr>
        <w:t>Seção 8 (Entregáveis) nova — prefixo ENTREGÁVEL: para popular DELIVERABLES do OCG.</w:t>
      </w:r>
    </w:p>
    <w:p>
      <w:pPr>
        <w:pStyle w:val="ListBullet"/>
        <w:spacing w:after="40"/>
        <w:ind w:left="340"/>
      </w:pPr>
      <w:r>
        <w:rPr>
          <w:sz w:val="22"/>
        </w:rPr>
        <w:t>Seção 9 (Roadmap) reformulada com fases numeradas e bullets (não tabela).</w:t>
      </w:r>
    </w:p>
    <w:p>
      <w:pPr>
        <w:pStyle w:val="ListBullet"/>
        <w:spacing w:after="40"/>
        <w:ind w:left="340"/>
      </w:pPr>
      <w:r>
        <w:rPr>
          <w:sz w:val="22"/>
        </w:rPr>
        <w:t>Seção 12 (Integrações) nova — consolida DataJud e tabelas econômicas.</w:t>
      </w:r>
    </w:p>
    <w:p>
      <w:pPr>
        <w:pStyle w:val="ListBullet"/>
        <w:spacing w:after="40"/>
        <w:ind w:left="340"/>
      </w:pPr>
      <w:r>
        <w:rPr>
          <w:sz w:val="22"/>
        </w:rPr>
        <w:t>Anexo de endpoints de tribunais incorporado em 5.15 como tabela de aliases suportados.</w:t>
      </w:r>
    </w:p>
    <w:p>
      <w:pPr>
        <w:pStyle w:val="ListBullet"/>
        <w:spacing w:after="40"/>
        <w:ind w:left="340"/>
      </w:pPr>
      <w:r>
        <w:rPr>
          <w:sz w:val="22"/>
        </w:rPr>
        <w:t>Glossário movido para início (seção 4) e expandido com termos do domínio jurídico.</w:t>
      </w:r>
    </w:p>
    <w:p>
      <w:pPr>
        <w:pStyle w:val="Heading1"/>
      </w:pPr>
      <w:r>
        <w:rPr>
          <w:color w:val="6D28D9"/>
          <w:sz w:val="36"/>
        </w:rPr>
        <w:t>Anexo B — Como testar se a ingestão funcionou</w:t>
      </w:r>
    </w:p>
    <w:p>
      <w:pPr>
        <w:pStyle w:val="ListNumber"/>
        <w:spacing w:after="40"/>
      </w:pPr>
      <w:r>
        <w:rPr>
          <w:sz w:val="22"/>
        </w:rPr>
        <w:t>Após ingerir este documento em /projects/{id}/ingestion, aguardar 2-3 minutos.</w:t>
      </w:r>
    </w:p>
    <w:p>
      <w:pPr>
        <w:pStyle w:val="ListNumber"/>
        <w:spacing w:after="40"/>
      </w:pPr>
      <w:r>
        <w:rPr>
          <w:sz w:val="22"/>
        </w:rPr>
        <w:t>Abrir /projects/{id}/ocg e verificar se o campo DELIVERABLES foi populado.</w:t>
      </w:r>
    </w:p>
    <w:p>
      <w:pPr>
        <w:pStyle w:val="ListNumber"/>
        <w:spacing w:after="40"/>
      </w:pPr>
      <w:r>
        <w:rPr>
          <w:sz w:val="22"/>
        </w:rPr>
        <w:t>Abrir /projects/{id}/backlog e verificar items de source='ocg' (entregáveis) e source='arguider' (módulos candidatos).</w:t>
      </w:r>
    </w:p>
    <w:p>
      <w:pPr>
        <w:pStyle w:val="ListNumber"/>
        <w:spacing w:after="40"/>
      </w:pPr>
      <w:r>
        <w:rPr>
          <w:sz w:val="22"/>
        </w:rPr>
        <w:t>Abrir /projects/{id}/roadmap e verificar fases 1 a 4 com entregas por fase.</w:t>
      </w:r>
    </w:p>
    <w:p>
      <w:pPr>
        <w:pStyle w:val="ListNumber"/>
        <w:spacing w:after="40"/>
      </w:pPr>
      <w:r>
        <w:rPr>
          <w:sz w:val="22"/>
        </w:rPr>
        <w:t>Se alguma etapa não gerou itens: verificar log do Arguidor em /projects/{id}/audit — possível problema de prompt ou de provider IA.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Automação Jurídica Assistida — v2.0</dc:title>
  <dc:subject>Especificação técnica ingestável no GCA</dc:subject>
  <dc:creator>Luiz Carlos Pielak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