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80"/>
        </w:rPr>
        <w:t>GCA</w:t>
      </w:r>
    </w:p>
    <w:p/>
    <w:p/>
    <w:p/>
    <w:p>
      <w:pPr>
        <w:jc w:val="center"/>
      </w:pPr>
      <w:r>
        <w:rPr>
          <w:color w:val="1E293B"/>
          <w:sz w:val="36"/>
        </w:rPr>
        <w:t>Template de Documento de Ingestão</w:t>
      </w:r>
    </w:p>
    <w:p/>
    <w:p/>
    <w:p/>
    <w:p/>
    <w:p>
      <w:pPr>
        <w:jc w:val="center"/>
      </w:pPr>
      <w:r>
        <w:rPr>
          <w:i/>
          <w:sz w:val="28"/>
        </w:rPr>
        <w:t>Versão 1.0 — formato ideal para o pipeline do Arguidor</w:t>
      </w:r>
    </w:p>
    <w:p>
      <w:pPr>
        <w:jc w:val="center"/>
      </w:pPr>
      <w:r>
        <w:rPr>
          <w:b/>
          <w:sz w:val="24"/>
        </w:rPr>
        <w:t>Autor: Luiz Carlos Pielak</w:t>
      </w:r>
    </w:p>
    <w:p>
      <w:pPr>
        <w:jc w:val="center"/>
      </w:pPr>
      <w:r>
        <w:rPr>
          <w:color w:val="64748B"/>
          <w:sz w:val="22"/>
        </w:rPr>
        <w:t>19 de April de 2026</w:t>
      </w:r>
    </w:p>
    <w:p>
      <w:r>
        <w:br w:type="page"/>
      </w:r>
    </w:p>
    <w:p>
      <w:pPr>
        <w:pStyle w:val="Heading1"/>
      </w:pPr>
      <w:r>
        <w:rPr>
          <w:color w:val="6D28D9"/>
          <w:sz w:val="36"/>
        </w:rPr>
        <w:t>Como usar este template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Este documento é o formato ideal para qualquer material que o cliente queira ingerir no GCA (menu Ingestão do projeto) para alimentar o OCG, o Gatekeeper e o Roadmap. O pipeline do GCA parseia arquivos .docx lendo apenas parágrafos de texto — tabelas, imagens, SmartArt e elementos visuais não são interpretados.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Por isso, todo requisito funcional (RF), entregável, módulo, fase e prioridade deve estar em parágrafo numerado com prefixos padronizados. As seções deste template são o mínimo que o Arguidor precisa para gerar module_candidates, DELIVERABLES e fases de roadmap automaticamente.</w:t>
      </w:r>
    </w:p>
    <w:p>
      <w:pPr>
        <w:pStyle w:val="Heading2"/>
      </w:pPr>
      <w:r>
        <w:rPr>
          <w:color w:val="1E293B"/>
          <w:sz w:val="28"/>
        </w:rPr>
        <w:t>Regras duras de formatação</w:t>
      </w:r>
    </w:p>
    <w:p>
      <w:pPr>
        <w:pStyle w:val="ListBullet"/>
        <w:spacing w:after="40"/>
        <w:ind w:left="340"/>
      </w:pPr>
      <w:r>
        <w:rPr>
          <w:sz w:val="22"/>
        </w:rPr>
        <w:t>Use apenas parágrafos de texto. Nunca coloque requisitos em tabelas.</w:t>
      </w:r>
    </w:p>
    <w:p>
      <w:pPr>
        <w:pStyle w:val="ListBullet"/>
        <w:spacing w:after="40"/>
        <w:ind w:left="340"/>
      </w:pPr>
      <w:r>
        <w:rPr>
          <w:sz w:val="22"/>
        </w:rPr>
        <w:t>Cada RF começa com identificador único (RF-01, RF-02, ...) em parágrafo próprio.</w:t>
      </w:r>
    </w:p>
    <w:p>
      <w:pPr>
        <w:pStyle w:val="ListBullet"/>
        <w:spacing w:after="40"/>
        <w:ind w:left="340"/>
      </w:pPr>
      <w:r>
        <w:rPr>
          <w:sz w:val="22"/>
        </w:rPr>
        <w:t>Prefixos obrigatórios por RF: [MANDATÓRIO] ou [RECOMENDADO] + [P1-Business..P7-Deliverables].</w:t>
      </w:r>
    </w:p>
    <w:p>
      <w:pPr>
        <w:pStyle w:val="ListBullet"/>
        <w:spacing w:after="40"/>
        <w:ind w:left="340"/>
      </w:pPr>
      <w:r>
        <w:rPr>
          <w:sz w:val="22"/>
        </w:rPr>
        <w:t>Cada entregável em parágrafo próprio começando com ENTREGÁVEL:.</w:t>
      </w:r>
    </w:p>
    <w:p>
      <w:pPr>
        <w:pStyle w:val="ListBullet"/>
        <w:spacing w:after="40"/>
        <w:ind w:left="340"/>
      </w:pPr>
      <w:r>
        <w:rPr>
          <w:sz w:val="22"/>
        </w:rPr>
        <w:t>Cada módulo em seção própria começando com MÓDULO:.</w:t>
      </w:r>
    </w:p>
    <w:p>
      <w:pPr>
        <w:pStyle w:val="ListBullet"/>
        <w:spacing w:after="40"/>
        <w:ind w:left="340"/>
      </w:pPr>
      <w:r>
        <w:rPr>
          <w:sz w:val="22"/>
        </w:rPr>
        <w:t>Fases de roadmap numeradas (Fase 1, Fase 2...) com lista de entregas.</w:t>
      </w:r>
    </w:p>
    <w:p>
      <w:pPr>
        <w:pStyle w:val="ListBullet"/>
        <w:spacing w:after="40"/>
        <w:ind w:left="340"/>
      </w:pPr>
      <w:r>
        <w:rPr>
          <w:sz w:val="22"/>
        </w:rPr>
        <w:t>Glossário no final. Termos em ordem alfabética.</w:t>
      </w:r>
    </w:p>
    <w:p>
      <w:pPr>
        <w:pStyle w:val="Heading2"/>
      </w:pPr>
      <w:r>
        <w:rPr>
          <w:color w:val="1E293B"/>
          <w:sz w:val="28"/>
        </w:rPr>
        <w:t>Seções esperadas pelo pipeline</w:t>
      </w:r>
    </w:p>
    <w:p>
      <w:pPr>
        <w:pStyle w:val="ListNumber"/>
        <w:spacing w:after="40"/>
      </w:pPr>
      <w:r>
        <w:rPr>
          <w:sz w:val="22"/>
        </w:rPr>
        <w:t>Identificação do projeto (nome, versão, autor, data).</w:t>
      </w:r>
    </w:p>
    <w:p>
      <w:pPr>
        <w:pStyle w:val="ListNumber"/>
        <w:spacing w:after="40"/>
      </w:pPr>
      <w:r>
        <w:rPr>
          <w:sz w:val="22"/>
        </w:rPr>
        <w:t>Objetivo e escopo.</w:t>
      </w:r>
    </w:p>
    <w:p>
      <w:pPr>
        <w:pStyle w:val="ListNumber"/>
        <w:spacing w:after="40"/>
      </w:pPr>
      <w:r>
        <w:rPr>
          <w:sz w:val="22"/>
        </w:rPr>
        <w:t>Glossário de termos específicos do domínio.</w:t>
      </w:r>
    </w:p>
    <w:p>
      <w:pPr>
        <w:pStyle w:val="ListNumber"/>
        <w:spacing w:after="40"/>
      </w:pPr>
      <w:r>
        <w:rPr>
          <w:sz w:val="22"/>
        </w:rPr>
        <w:t>Requisitos funcionais (RF-XX) em parágrafos.</w:t>
      </w:r>
    </w:p>
    <w:p>
      <w:pPr>
        <w:pStyle w:val="ListNumber"/>
        <w:spacing w:after="40"/>
      </w:pPr>
      <w:r>
        <w:rPr>
          <w:sz w:val="22"/>
        </w:rPr>
        <w:t>Requisitos não-funcionais (RNF-XX) em parágrafos.</w:t>
      </w:r>
    </w:p>
    <w:p>
      <w:pPr>
        <w:pStyle w:val="ListNumber"/>
        <w:spacing w:after="40"/>
      </w:pPr>
      <w:r>
        <w:rPr>
          <w:sz w:val="22"/>
        </w:rPr>
        <w:t>Módulos ou componentes (cada um com MÓDULO: nome + descrição + pilares + prioridade).</w:t>
      </w:r>
    </w:p>
    <w:p>
      <w:pPr>
        <w:pStyle w:val="ListNumber"/>
        <w:spacing w:after="40"/>
      </w:pPr>
      <w:r>
        <w:rPr>
          <w:sz w:val="22"/>
        </w:rPr>
        <w:t>Entregáveis (cada um com ENTREGÁVEL: nome + fase + prioridade).</w:t>
      </w:r>
    </w:p>
    <w:p>
      <w:pPr>
        <w:pStyle w:val="ListNumber"/>
        <w:spacing w:after="40"/>
      </w:pPr>
      <w:r>
        <w:rPr>
          <w:sz w:val="22"/>
        </w:rPr>
        <w:t>Roadmap por fases (Fase 1, 2, 3, ...) listando entregas.</w:t>
      </w:r>
    </w:p>
    <w:p>
      <w:pPr>
        <w:pStyle w:val="ListNumber"/>
        <w:spacing w:after="40"/>
      </w:pPr>
      <w:r>
        <w:rPr>
          <w:sz w:val="22"/>
        </w:rPr>
        <w:t>Riscos conhecidos.</w:t>
      </w:r>
    </w:p>
    <w:p>
      <w:pPr>
        <w:pStyle w:val="ListNumber"/>
        <w:spacing w:after="40"/>
      </w:pPr>
      <w:r>
        <w:rPr>
          <w:sz w:val="22"/>
        </w:rPr>
        <w:t>Critérios de aceite (checklist).</w:t>
      </w:r>
    </w:p>
    <w:p>
      <w:pPr>
        <w:pStyle w:val="ListNumber"/>
        <w:spacing w:after="40"/>
      </w:pPr>
      <w:r>
        <w:rPr>
          <w:sz w:val="22"/>
        </w:rPr>
        <w:t>Integrações externas (APIs, bases, fontes de dados).</w:t>
      </w:r>
    </w:p>
    <w:p>
      <w:r>
        <w:br w:type="page"/>
      </w:r>
    </w:p>
    <w:p>
      <w:pPr>
        <w:pStyle w:val="Heading1"/>
      </w:pPr>
      <w:r>
        <w:rPr>
          <w:color w:val="6D28D9"/>
          <w:sz w:val="36"/>
        </w:rPr>
        <w:t>1. Identificação do projeto</w:t>
      </w:r>
    </w:p>
    <w:p>
      <w:pPr>
        <w:spacing w:line="300" w:lineRule="auto" w:after="120"/>
        <w:jc w:val="both"/>
      </w:pPr>
      <w:r>
        <w:rPr>
          <w:b/>
          <w:i w:val="0"/>
          <w:sz w:val="22"/>
        </w:rPr>
        <w:t>Nome: [preencher]</w:t>
      </w:r>
    </w:p>
    <w:p>
      <w:pPr>
        <w:spacing w:line="300" w:lineRule="auto" w:after="120"/>
        <w:jc w:val="both"/>
      </w:pPr>
      <w:r>
        <w:rPr>
          <w:b/>
          <w:i w:val="0"/>
          <w:sz w:val="22"/>
        </w:rPr>
        <w:t>Slug: [preencher, ex: automacao-juridica]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Versão: 1.0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Data: [preencher]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Autor/Elaboração: [preencher]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Classificação: [pública / interna / confidencial / restrita]</w:t>
      </w:r>
    </w:p>
    <w:p>
      <w:pPr>
        <w:pStyle w:val="Heading1"/>
      </w:pPr>
      <w:r>
        <w:rPr>
          <w:color w:val="6D28D9"/>
          <w:sz w:val="36"/>
        </w:rPr>
        <w:t>2. Objetivo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Descreva em 3-5 parágrafos o problema que o projeto resolve, o ganho esperado e o público-alvo. Seja específico — o Arguidor usa este texto para avaliar o pilar P1 (Business).</w:t>
      </w:r>
    </w:p>
    <w:p>
      <w:pPr>
        <w:pStyle w:val="Heading2"/>
      </w:pPr>
      <w:r>
        <w:rPr>
          <w:color w:val="1E293B"/>
          <w:sz w:val="28"/>
        </w:rPr>
        <w:t>2.1 Objetivos específicos</w:t>
      </w:r>
    </w:p>
    <w:p>
      <w:pPr>
        <w:pStyle w:val="ListBullet"/>
        <w:spacing w:after="40"/>
        <w:ind w:left="340"/>
      </w:pPr>
      <w:r>
        <w:rPr>
          <w:sz w:val="22"/>
        </w:rPr>
        <w:t>[Objetivo mensurável 1]</w:t>
      </w:r>
    </w:p>
    <w:p>
      <w:pPr>
        <w:pStyle w:val="ListBullet"/>
        <w:spacing w:after="40"/>
        <w:ind w:left="340"/>
      </w:pPr>
      <w:r>
        <w:rPr>
          <w:sz w:val="22"/>
        </w:rPr>
        <w:t>[Objetivo mensurável 2]</w:t>
      </w:r>
    </w:p>
    <w:p>
      <w:pPr>
        <w:pStyle w:val="ListBullet"/>
        <w:spacing w:after="40"/>
        <w:ind w:left="340"/>
      </w:pPr>
      <w:r>
        <w:rPr>
          <w:sz w:val="22"/>
        </w:rPr>
        <w:t>[Objetivo mensurável 3]</w:t>
      </w:r>
    </w:p>
    <w:p>
      <w:pPr>
        <w:pStyle w:val="Heading1"/>
      </w:pPr>
      <w:r>
        <w:rPr>
          <w:color w:val="6D28D9"/>
          <w:sz w:val="36"/>
        </w:rPr>
        <w:t>3. Escopo</w:t>
      </w:r>
    </w:p>
    <w:p>
      <w:pPr>
        <w:pStyle w:val="Heading2"/>
      </w:pPr>
      <w:r>
        <w:rPr>
          <w:color w:val="1E293B"/>
          <w:sz w:val="28"/>
        </w:rPr>
        <w:t>3.1 Em escopo</w:t>
      </w:r>
    </w:p>
    <w:p>
      <w:pPr>
        <w:pStyle w:val="ListBullet"/>
        <w:spacing w:after="40"/>
        <w:ind w:left="340"/>
      </w:pPr>
      <w:r>
        <w:rPr>
          <w:sz w:val="22"/>
        </w:rPr>
        <w:t>[Capacidade central 1 — descrição completa]</w:t>
      </w:r>
    </w:p>
    <w:p>
      <w:pPr>
        <w:pStyle w:val="ListBullet"/>
        <w:spacing w:after="40"/>
        <w:ind w:left="340"/>
      </w:pPr>
      <w:r>
        <w:rPr>
          <w:sz w:val="22"/>
        </w:rPr>
        <w:t>[Capacidade central 2]</w:t>
      </w:r>
    </w:p>
    <w:p>
      <w:pPr>
        <w:pStyle w:val="Heading2"/>
      </w:pPr>
      <w:r>
        <w:rPr>
          <w:color w:val="1E293B"/>
          <w:sz w:val="28"/>
        </w:rPr>
        <w:t>3.2 Fora de escopo</w:t>
      </w:r>
    </w:p>
    <w:p>
      <w:pPr>
        <w:pStyle w:val="ListBullet"/>
        <w:spacing w:after="40"/>
        <w:ind w:left="340"/>
      </w:pPr>
      <w:r>
        <w:rPr>
          <w:sz w:val="22"/>
        </w:rPr>
        <w:t>[O que NÃO será entregue nesta versão — evite ambiguidade]</w:t>
      </w:r>
    </w:p>
    <w:p>
      <w:pPr>
        <w:pStyle w:val="Heading1"/>
      </w:pPr>
      <w:r>
        <w:rPr>
          <w:color w:val="6D28D9"/>
          <w:sz w:val="36"/>
        </w:rPr>
        <w:t>4. Glossário do projeto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Liste termos específicos do domínio em ordem alfabética. Cada termo em um parágrafo começando com o termo em negrito.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Termo. Definição clara e autocontida.</w:t>
      </w:r>
    </w:p>
    <w:p>
      <w:pPr>
        <w:pStyle w:val="Heading1"/>
      </w:pPr>
      <w:r>
        <w:rPr>
          <w:color w:val="6D28D9"/>
          <w:sz w:val="36"/>
        </w:rPr>
        <w:t>5. Requisitos funcionais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Cada requisito funcional (RF) em parágrafo próprio, numerado. Prefixos: [MANDATÓRIO] ou [RECOMENDADO] + [P1-Business / P2-Architecture / P3-Stack / P4-Testing / P5-Compliance / P6-Risk / P7-Deliverables]. Exemplos abaixo — substitua pelos RFs reais do projeto.</w:t>
      </w:r>
    </w:p>
    <w:p>
      <w:pPr>
        <w:pStyle w:val="Heading2"/>
      </w:pPr>
      <w:r>
        <w:rPr>
          <w:color w:val="1E293B"/>
          <w:sz w:val="28"/>
        </w:rPr>
        <w:t>5.1 Módulo exemplo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RF-01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cadastro manual de [entidade] com campos obrigatórios A, B, C e campos opcionais X, Y.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RF-02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Manter histórico completo de alterações em [entidade] com timestamp, usuário e diff.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RF-03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[P4-Testing] </w:t>
      </w:r>
      <w:r>
        <w:rPr>
          <w:sz w:val="22"/>
        </w:rPr>
        <w:t>Permitir exportação em formato [CSV/PDF/Excel] respeitando filtros ativos.</w:t>
      </w:r>
    </w:p>
    <w:p>
      <w:pPr>
        <w:pStyle w:val="Heading1"/>
      </w:pPr>
      <w:r>
        <w:rPr>
          <w:color w:val="6D28D9"/>
          <w:sz w:val="36"/>
        </w:rPr>
        <w:t>6. Requisitos não-funcionais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RNF-01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Tempo de resposta para operações síncronas de listagem ≤ 2 segundos para base com [volume].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RNF-02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Conformidade com LGPD: [detalhar controles — consentimento, minimização, retenção].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RNF-03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Disponibilidade operacional alvo: 99,5% mensal.</w:t>
      </w:r>
    </w:p>
    <w:p>
      <w:pPr>
        <w:pStyle w:val="Heading1"/>
      </w:pPr>
      <w:r>
        <w:rPr>
          <w:color w:val="6D28D9"/>
          <w:sz w:val="36"/>
        </w:rPr>
        <w:t>7. Módulos do sistema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Cada módulo em seção própria. Esta seção alimenta module_candidates do Arguidor, que por sua vez geram items de roadmap priorizados.</w:t>
      </w:r>
    </w:p>
    <w:p>
      <w:pPr>
        <w:pStyle w:val="Heading3"/>
      </w:pPr>
      <w:r>
        <w:rPr>
          <w:color w:val="64748B"/>
          <w:sz w:val="24"/>
        </w:rPr>
        <w:t>7.1 Módulo: Nome do Módulo 1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Nome do Módulo 1. Prioridade: MANDATÓRIO. Pilares: P1-Business, P2-Architecture. Dependências: Nenhuma.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Descrição completa do que o módulo faz, inputs, outputs, regras de negócio principais, casos de uso cobertos. Detalhe suficiente para o Arguidor marcar ready_for_codegen=true.</w:t>
      </w:r>
    </w:p>
    <w:p>
      <w:pPr>
        <w:pStyle w:val="Heading3"/>
      </w:pPr>
      <w:r>
        <w:rPr>
          <w:color w:val="64748B"/>
          <w:sz w:val="24"/>
        </w:rPr>
        <w:t>7.2 Módulo: Nome do Módulo 2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Nome do Módulo 2. Prioridade: MANDATÓRIO. Pilares: P2-Architecture, P3-Stack. Dependências: Depende de Módulo 1.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Descrição completa...</w:t>
      </w:r>
    </w:p>
    <w:p>
      <w:pPr>
        <w:pStyle w:val="Heading1"/>
      </w:pPr>
      <w:r>
        <w:rPr>
          <w:color w:val="6D28D9"/>
          <w:sz w:val="36"/>
        </w:rPr>
        <w:t>8. Entregáveis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Cada entregável em parágrafo próprio. Prefixo ENTREGÁVEL: disparador do pipeline que popula o campo DELIVERABLES do OCG.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Setup inicial do projeto. </w:t>
      </w:r>
      <w:r>
        <w:rPr>
          <w:sz w:val="22"/>
        </w:rPr>
        <w:t xml:space="preserve">Descrição: Repositório Git inicializado com README, LICENSE, .gitignore, CI e estrutura de pastas padrão.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Schema do banco. </w:t>
      </w:r>
      <w:r>
        <w:rPr>
          <w:sz w:val="22"/>
        </w:rPr>
        <w:t xml:space="preserve">Descrição: Migrations SQL iniciais criando entidades principais com chaves e índices.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API REST inicial. </w:t>
      </w:r>
      <w:r>
        <w:rPr>
          <w:sz w:val="22"/>
        </w:rPr>
        <w:t xml:space="preserve">Descrição: Endpoints de CRUD das entidades principais com autenticação JWT.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Frontend SPA inicial. </w:t>
      </w:r>
      <w:r>
        <w:rPr>
          <w:sz w:val="22"/>
        </w:rPr>
        <w:t xml:space="preserve">Descrição: Telas de login, dashboard, listagens principais com roteamento protegido.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Documentação técnica. </w:t>
      </w:r>
      <w:r>
        <w:rPr>
          <w:sz w:val="22"/>
        </w:rPr>
        <w:t xml:space="preserve">Descrição: README de setup, doc de API gerada (OpenAPI), ADRs das decisões arquiteturais.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RECOMENDADO.</w:t>
      </w:r>
    </w:p>
    <w:p>
      <w:pPr>
        <w:pStyle w:val="Heading1"/>
      </w:pPr>
      <w:r>
        <w:rPr>
          <w:color w:val="6D28D9"/>
          <w:sz w:val="36"/>
        </w:rPr>
        <w:t>9. Roadmap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Fases numeradas (Fase 1, Fase 2, ...) com entregas nomeadas por fase. Esta seção orienta o roadmap_service a agrupar module_candidates em fases de execução.</w:t>
      </w:r>
    </w:p>
    <w:p>
      <w:pPr>
        <w:pStyle w:val="Heading2"/>
      </w:pPr>
      <w:r>
        <w:rPr>
          <w:color w:val="1E293B"/>
          <w:sz w:val="28"/>
        </w:rPr>
        <w:t>Fase 1 — Fundação</w:t>
      </w:r>
    </w:p>
    <w:p>
      <w:pPr>
        <w:pStyle w:val="ListBullet"/>
        <w:spacing w:after="40"/>
        <w:ind w:left="340"/>
      </w:pPr>
      <w:r>
        <w:rPr>
          <w:sz w:val="22"/>
        </w:rPr>
        <w:t>Setup inicial do projeto (repo, CI, .gitignore)</w:t>
      </w:r>
    </w:p>
    <w:p>
      <w:pPr>
        <w:pStyle w:val="ListBullet"/>
        <w:spacing w:after="40"/>
        <w:ind w:left="340"/>
      </w:pPr>
      <w:r>
        <w:rPr>
          <w:sz w:val="22"/>
        </w:rPr>
        <w:t>Schema inicial do banco</w:t>
      </w:r>
    </w:p>
    <w:p>
      <w:pPr>
        <w:pStyle w:val="ListBullet"/>
        <w:spacing w:after="40"/>
        <w:ind w:left="340"/>
      </w:pPr>
      <w:r>
        <w:rPr>
          <w:sz w:val="22"/>
        </w:rPr>
        <w:t>Autenticação + autorização</w:t>
      </w:r>
    </w:p>
    <w:p>
      <w:pPr>
        <w:pStyle w:val="ListBullet"/>
        <w:spacing w:after="40"/>
        <w:ind w:left="340"/>
      </w:pPr>
      <w:r>
        <w:rPr>
          <w:sz w:val="22"/>
        </w:rPr>
        <w:t>CRUD principal das entidades centrais</w:t>
      </w:r>
    </w:p>
    <w:p>
      <w:pPr>
        <w:pStyle w:val="ListBullet"/>
        <w:spacing w:after="40"/>
        <w:ind w:left="340"/>
      </w:pPr>
      <w:r>
        <w:rPr>
          <w:sz w:val="22"/>
        </w:rPr>
        <w:t>Telas básicas do frontend</w:t>
      </w:r>
    </w:p>
    <w:p>
      <w:pPr>
        <w:pStyle w:val="Heading2"/>
      </w:pPr>
      <w:r>
        <w:rPr>
          <w:color w:val="1E293B"/>
          <w:sz w:val="28"/>
        </w:rPr>
        <w:t>Fase 2 — Funcionalidades centrais</w:t>
      </w:r>
    </w:p>
    <w:p>
      <w:pPr>
        <w:pStyle w:val="ListBullet"/>
        <w:spacing w:after="40"/>
        <w:ind w:left="340"/>
      </w:pPr>
      <w:r>
        <w:rPr>
          <w:sz w:val="22"/>
        </w:rPr>
        <w:t>[Módulos do domínio específico]</w:t>
      </w:r>
    </w:p>
    <w:p>
      <w:pPr>
        <w:pStyle w:val="ListBullet"/>
        <w:spacing w:after="40"/>
        <w:ind w:left="340"/>
      </w:pPr>
      <w:r>
        <w:rPr>
          <w:sz w:val="22"/>
        </w:rPr>
        <w:t>[Integrações de primeira linha]</w:t>
      </w:r>
    </w:p>
    <w:p>
      <w:pPr>
        <w:pStyle w:val="ListBullet"/>
        <w:spacing w:after="40"/>
        <w:ind w:left="340"/>
      </w:pPr>
      <w:r>
        <w:rPr>
          <w:sz w:val="22"/>
        </w:rPr>
        <w:t>[Relatórios básicos]</w:t>
      </w:r>
    </w:p>
    <w:p>
      <w:pPr>
        <w:pStyle w:val="Heading2"/>
      </w:pPr>
      <w:r>
        <w:rPr>
          <w:color w:val="1E293B"/>
          <w:sz w:val="28"/>
        </w:rPr>
        <w:t>Fase 3 — Maturidade</w:t>
      </w:r>
    </w:p>
    <w:p>
      <w:pPr>
        <w:pStyle w:val="ListBullet"/>
        <w:spacing w:after="40"/>
        <w:ind w:left="340"/>
      </w:pPr>
      <w:r>
        <w:rPr>
          <w:sz w:val="22"/>
        </w:rPr>
        <w:t>[Recursos avançados / analytics]</w:t>
      </w:r>
    </w:p>
    <w:p>
      <w:pPr>
        <w:pStyle w:val="ListBullet"/>
        <w:spacing w:after="40"/>
        <w:ind w:left="340"/>
      </w:pPr>
      <w:r>
        <w:rPr>
          <w:sz w:val="22"/>
        </w:rPr>
        <w:t>[Integrações complexas]</w:t>
      </w:r>
    </w:p>
    <w:p>
      <w:pPr>
        <w:pStyle w:val="ListBullet"/>
        <w:spacing w:after="40"/>
        <w:ind w:left="340"/>
      </w:pPr>
      <w:r>
        <w:rPr>
          <w:sz w:val="22"/>
        </w:rPr>
        <w:t>[Otimização de performance]</w:t>
      </w:r>
    </w:p>
    <w:p>
      <w:pPr>
        <w:pStyle w:val="Heading2"/>
      </w:pPr>
      <w:r>
        <w:rPr>
          <w:color w:val="1E293B"/>
          <w:sz w:val="28"/>
        </w:rPr>
        <w:t>Fase 4 — Expansões futuras (opcional)</w:t>
      </w:r>
    </w:p>
    <w:p>
      <w:pPr>
        <w:pStyle w:val="ListBullet"/>
        <w:spacing w:after="40"/>
        <w:ind w:left="340"/>
      </w:pPr>
      <w:r>
        <w:rPr>
          <w:sz w:val="22"/>
        </w:rPr>
        <w:t>[Features nice-to-have]</w:t>
      </w:r>
    </w:p>
    <w:p>
      <w:pPr>
        <w:pStyle w:val="Heading1"/>
      </w:pPr>
      <w:r>
        <w:rPr>
          <w:color w:val="6D28D9"/>
          <w:sz w:val="36"/>
        </w:rPr>
        <w:t>10. Riscos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RISCO-01: [descrição do risco + probabilidade (alta/média/baixa) + impacto + mitigação].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RISCO-02: ...</w:t>
      </w:r>
    </w:p>
    <w:p>
      <w:pPr>
        <w:pStyle w:val="Heading1"/>
      </w:pPr>
      <w:r>
        <w:rPr>
          <w:color w:val="6D28D9"/>
          <w:sz w:val="36"/>
        </w:rPr>
        <w:t>11. Critérios de aceite</w:t>
      </w:r>
    </w:p>
    <w:p>
      <w:pPr>
        <w:pStyle w:val="ListNumber"/>
        <w:spacing w:after="40"/>
      </w:pPr>
      <w:r>
        <w:rPr>
          <w:sz w:val="22"/>
        </w:rPr>
        <w:t>Todos os RF-[MANDATÓRIO] implementados e testados.</w:t>
      </w:r>
    </w:p>
    <w:p>
      <w:pPr>
        <w:pStyle w:val="ListNumber"/>
        <w:spacing w:after="40"/>
      </w:pPr>
      <w:r>
        <w:rPr>
          <w:sz w:val="22"/>
        </w:rPr>
        <w:t>Cobertura de testes unitários ≥ [X]% nos módulos críticos.</w:t>
      </w:r>
    </w:p>
    <w:p>
      <w:pPr>
        <w:pStyle w:val="ListNumber"/>
        <w:spacing w:after="40"/>
      </w:pPr>
      <w:r>
        <w:rPr>
          <w:sz w:val="22"/>
        </w:rPr>
        <w:t>Documentação técnica atualizada.</w:t>
      </w:r>
    </w:p>
    <w:p>
      <w:pPr>
        <w:pStyle w:val="ListNumber"/>
        <w:spacing w:after="40"/>
      </w:pPr>
      <w:r>
        <w:rPr>
          <w:sz w:val="22"/>
        </w:rPr>
        <w:t>Aprovação do Gatekeeper em todos os 7 pilares.</w:t>
      </w:r>
    </w:p>
    <w:p>
      <w:pPr>
        <w:pStyle w:val="Heading1"/>
      </w:pPr>
      <w:r>
        <w:rPr>
          <w:color w:val="6D28D9"/>
          <w:sz w:val="36"/>
        </w:rPr>
        <w:t>12. Integrações externas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Cada integração em seção própria com: nome da fonte, natureza (pública/privada/paga), método de acesso (REST/SOAP/webhook), autenticação, limites de taxa, riscos conhecidos.</w:t>
      </w:r>
    </w:p>
    <w:p>
      <w:pPr>
        <w:pStyle w:val="Heading2"/>
      </w:pPr>
      <w:r>
        <w:rPr>
          <w:color w:val="1E293B"/>
          <w:sz w:val="28"/>
        </w:rPr>
        <w:t>12.1 [Nome da integração]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Fonte: [URL ou descrição].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Natureza: [pública / privada / paga com contrato X].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Método: [HTTP POST com JSON / GraphQL / webhook / ...].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Autenticação: [APIKey no header / OAuth2 / JWT / ...].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Limites: [requisições por minuto, janela, quotas].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Riscos: [disponibilidade, mudança de contrato, latência].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Uso no projeto: [o que alimenta, qual módulo consome].</w:t>
      </w:r>
    </w:p>
    <w:p>
      <w:pPr>
        <w:pStyle w:val="Heading1"/>
      </w:pPr>
      <w:r>
        <w:rPr>
          <w:color w:val="6D28D9"/>
          <w:sz w:val="36"/>
        </w:rPr>
        <w:t>13. Conformidade e compliance</w:t>
      </w:r>
    </w:p>
    <w:p>
      <w:pPr>
        <w:pStyle w:val="ListBullet"/>
        <w:spacing w:after="40"/>
        <w:ind w:left="340"/>
      </w:pPr>
      <w:r>
        <w:rPr>
          <w:sz w:val="22"/>
        </w:rPr>
        <w:t>LGPD: [controles aplicáveis — base legal, minimização, DPO, portabilidade].</w:t>
      </w:r>
    </w:p>
    <w:p>
      <w:pPr>
        <w:pStyle w:val="ListBullet"/>
        <w:spacing w:after="40"/>
        <w:ind w:left="340"/>
      </w:pPr>
      <w:r>
        <w:rPr>
          <w:sz w:val="22"/>
        </w:rPr>
        <w:t>Segurança da informação: [criptografia em trânsito, em repouso, gestão de chaves].</w:t>
      </w:r>
    </w:p>
    <w:p>
      <w:pPr>
        <w:pStyle w:val="ListBullet"/>
        <w:spacing w:after="40"/>
        <w:ind w:left="340"/>
      </w:pPr>
      <w:r>
        <w:rPr>
          <w:sz w:val="22"/>
        </w:rPr>
        <w:t>Auditoria: [trilhas obrigatórias, retenção, integridade verificável].</w:t>
      </w:r>
    </w:p>
    <w:p>
      <w:r>
        <w:br w:type="page"/>
      </w:r>
    </w:p>
    <w:p>
      <w:pPr>
        <w:pStyle w:val="Heading1"/>
      </w:pPr>
      <w:r>
        <w:rPr>
          <w:color w:val="6D28D9"/>
          <w:sz w:val="36"/>
        </w:rPr>
        <w:t>Anexo A — Checklist de verificação antes da ingestão</w:t>
      </w:r>
    </w:p>
    <w:p>
      <w:pPr>
        <w:pStyle w:val="ListNumber"/>
        <w:spacing w:after="40"/>
      </w:pPr>
      <w:r>
        <w:rPr>
          <w:sz w:val="22"/>
        </w:rPr>
        <w:t>Todos os RFs estão em parágrafos (não em tabelas)?</w:t>
      </w:r>
    </w:p>
    <w:p>
      <w:pPr>
        <w:pStyle w:val="ListNumber"/>
        <w:spacing w:after="40"/>
      </w:pPr>
      <w:r>
        <w:rPr>
          <w:sz w:val="22"/>
        </w:rPr>
        <w:t>Cada RF tem identificador único (RF-01, RF-02, ...)?</w:t>
      </w:r>
    </w:p>
    <w:p>
      <w:pPr>
        <w:pStyle w:val="ListNumber"/>
        <w:spacing w:after="40"/>
      </w:pPr>
      <w:r>
        <w:rPr>
          <w:sz w:val="22"/>
        </w:rPr>
        <w:t>Cada RF tem marcador de prioridade [MANDATÓRIO] ou [RECOMENDADO]?</w:t>
      </w:r>
    </w:p>
    <w:p>
      <w:pPr>
        <w:pStyle w:val="ListNumber"/>
        <w:spacing w:after="40"/>
      </w:pPr>
      <w:r>
        <w:rPr>
          <w:sz w:val="22"/>
        </w:rPr>
        <w:t>Cada RF tem marcador de pilar [P1-Business..P7-Deliverables]?</w:t>
      </w:r>
    </w:p>
    <w:p>
      <w:pPr>
        <w:pStyle w:val="ListNumber"/>
        <w:spacing w:after="40"/>
      </w:pPr>
      <w:r>
        <w:rPr>
          <w:sz w:val="22"/>
        </w:rPr>
        <w:t>Seção 'Entregáveis' preenchida com prefixos ENTREGÁVEL:?</w:t>
      </w:r>
    </w:p>
    <w:p>
      <w:pPr>
        <w:pStyle w:val="ListNumber"/>
        <w:spacing w:after="40"/>
      </w:pPr>
      <w:r>
        <w:rPr>
          <w:sz w:val="22"/>
        </w:rPr>
        <w:t>Seção 'Módulos' preenchida com prefixos MÓDULO:?</w:t>
      </w:r>
    </w:p>
    <w:p>
      <w:pPr>
        <w:pStyle w:val="ListNumber"/>
        <w:spacing w:after="40"/>
      </w:pPr>
      <w:r>
        <w:rPr>
          <w:sz w:val="22"/>
        </w:rPr>
        <w:t>Seção 'Roadmap' com fases numeradas e lista de entregas?</w:t>
      </w:r>
    </w:p>
    <w:p>
      <w:pPr>
        <w:pStyle w:val="ListNumber"/>
        <w:spacing w:after="40"/>
      </w:pPr>
      <w:r>
        <w:rPr>
          <w:sz w:val="22"/>
        </w:rPr>
        <w:t>Glossário em ordem alfabética ao final?</w:t>
      </w:r>
    </w:p>
    <w:p>
      <w:pPr>
        <w:pStyle w:val="ListNumber"/>
        <w:spacing w:after="40"/>
      </w:pPr>
      <w:r>
        <w:rPr>
          <w:sz w:val="22"/>
        </w:rPr>
        <w:t>Documento salvo como .docx (não .pdf nem .odt)?</w:t>
      </w:r>
    </w:p>
    <w:p>
      <w:pPr>
        <w:pStyle w:val="ListNumber"/>
        <w:spacing w:after="40"/>
      </w:pPr>
      <w:r>
        <w:rPr>
          <w:sz w:val="22"/>
        </w:rPr>
        <w:t>Tamanho inferior a 10 MB?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GCA — Template de Documento de Ingestão</dc:title>
  <dc:subject>Template padrão para docs ingeridos no pipeline do GCA</dc:subject>
  <dc:creator>Luiz Carlos Pielak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